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6389" w:rsidRDefault="00B16389">
      <w:pPr>
        <w:widowControl w:val="0"/>
        <w:shd w:val="clear" w:color="auto" w:fill="FFFFFF"/>
        <w:autoSpaceDE w:val="0"/>
        <w:autoSpaceDN w:val="0"/>
        <w:adjustRightInd w:val="0"/>
        <w:spacing w:after="100" w:line="240" w:lineRule="auto"/>
        <w:ind w:left="121" w:right="107"/>
        <w:jc w:val="center"/>
        <w:rPr>
          <w:rFonts w:ascii="Ottawa" w:hAnsi="Ottawa" w:cs="Ottawa"/>
          <w:color w:val="000000"/>
          <w:sz w:val="32"/>
          <w:szCs w:val="32"/>
          <w:highlight w:val="white"/>
        </w:rPr>
      </w:pPr>
    </w:p>
    <w:p w:rsidR="00B16389" w:rsidRDefault="00B16389">
      <w:pPr>
        <w:widowControl w:val="0"/>
        <w:shd w:val="clear" w:color="auto" w:fill="FFFFFF"/>
        <w:autoSpaceDE w:val="0"/>
        <w:autoSpaceDN w:val="0"/>
        <w:adjustRightInd w:val="0"/>
        <w:spacing w:after="100" w:line="240" w:lineRule="auto"/>
        <w:ind w:left="121" w:right="107"/>
        <w:rPr>
          <w:rFonts w:ascii="Ottawa" w:hAnsi="Ottawa" w:cs="Ottawa"/>
          <w:color w:val="000000"/>
          <w:sz w:val="16"/>
          <w:szCs w:val="16"/>
          <w:highlight w:val="white"/>
        </w:rPr>
      </w:pPr>
    </w:p>
    <w:p w:rsidR="00B16389" w:rsidRDefault="00B16389">
      <w:pPr>
        <w:widowControl w:val="0"/>
        <w:shd w:val="clear" w:color="auto" w:fill="FFFFFF"/>
        <w:autoSpaceDE w:val="0"/>
        <w:autoSpaceDN w:val="0"/>
        <w:adjustRightInd w:val="0"/>
        <w:spacing w:after="100" w:line="240" w:lineRule="auto"/>
        <w:ind w:left="121" w:right="107"/>
        <w:rPr>
          <w:rFonts w:ascii="Ottawa" w:hAnsi="Ottawa" w:cs="Ottawa"/>
          <w:color w:val="000000"/>
          <w:sz w:val="4"/>
          <w:szCs w:val="4"/>
          <w:highlight w:val="white"/>
        </w:rPr>
      </w:pPr>
    </w:p>
    <w:p w:rsidR="00B16389" w:rsidRDefault="00B16389">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B16389" w:rsidRDefault="00B16389">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p>
    <w:p w:rsidR="00B16389" w:rsidRDefault="00B16389">
      <w:pPr>
        <w:widowControl w:val="0"/>
        <w:shd w:val="clear" w:color="auto" w:fill="FFFFFF"/>
        <w:autoSpaceDE w:val="0"/>
        <w:autoSpaceDN w:val="0"/>
        <w:adjustRightInd w:val="0"/>
        <w:spacing w:after="100" w:line="240" w:lineRule="auto"/>
        <w:ind w:left="121" w:right="107"/>
        <w:jc w:val="right"/>
        <w:rPr>
          <w:rFonts w:ascii="Ottawa" w:hAnsi="Ottawa" w:cs="Ottawa"/>
          <w:color w:val="000000"/>
          <w:sz w:val="32"/>
          <w:szCs w:val="32"/>
          <w:highlight w:val="white"/>
        </w:rPr>
      </w:pPr>
      <w:r>
        <w:rPr>
          <w:rFonts w:ascii="Ottawa" w:hAnsi="Ottawa" w:cs="Ottawa"/>
          <w:color w:val="000000"/>
          <w:sz w:val="32"/>
          <w:szCs w:val="32"/>
          <w:highlight w:val="white"/>
        </w:rPr>
        <w:t>ENTIDAD 603</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24"/>
          <w:szCs w:val="24"/>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32"/>
          <w:szCs w:val="32"/>
          <w:highlight w:val="white"/>
        </w:rPr>
      </w:pPr>
      <w:r>
        <w:rPr>
          <w:rFonts w:ascii="Ottawa" w:hAnsi="Ottawa" w:cs="Ottawa"/>
          <w:b/>
          <w:bCs/>
          <w:color w:val="000000"/>
          <w:sz w:val="32"/>
          <w:szCs w:val="32"/>
          <w:highlight w:val="white"/>
        </w:rPr>
        <w:t>SUPERINTENDENCIA DE SEGUROS DE LA NACIÓN</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r>
        <w:rPr>
          <w:rFonts w:ascii="Ottawa" w:hAnsi="Ottawa" w:cs="Ottawa"/>
          <w:color w:val="000000"/>
          <w:sz w:val="20"/>
          <w:szCs w:val="20"/>
          <w:highlight w:val="white"/>
        </w:rPr>
        <w:t>__________________________________</w:t>
      </w:r>
    </w:p>
    <w:p w:rsidR="00B16389" w:rsidRDefault="00B16389">
      <w:pPr>
        <w:widowControl w:val="0"/>
        <w:autoSpaceDE w:val="0"/>
        <w:autoSpaceDN w:val="0"/>
        <w:adjustRightInd w:val="0"/>
        <w:spacing w:after="0" w:line="240" w:lineRule="auto"/>
        <w:ind w:left="121" w:right="107"/>
        <w:jc w:val="center"/>
        <w:rPr>
          <w:rFonts w:ascii="Times New Roman" w:hAnsi="Times New Roman" w:cs="Times New Roman"/>
          <w:color w:val="000000"/>
          <w:sz w:val="24"/>
          <w:szCs w:val="24"/>
        </w:rPr>
      </w:pPr>
    </w:p>
    <w:p w:rsidR="00B16389" w:rsidRDefault="00B16389">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Arial" w:hAnsi="Arial" w:cs="Arial"/>
          <w:sz w:val="24"/>
          <w:szCs w:val="24"/>
        </w:rPr>
        <w:br w:type="page"/>
      </w:r>
      <w:r>
        <w:rPr>
          <w:rFonts w:ascii="Ottawa" w:hAnsi="Ottawa" w:cs="Ottawa"/>
          <w:b/>
          <w:bCs/>
          <w:color w:val="000000"/>
          <w:sz w:val="24"/>
          <w:szCs w:val="24"/>
        </w:rPr>
        <w:lastRenderedPageBreak/>
        <w:t>POLITICA PRESUPUESTARIA DE LA ENTIDAD</w:t>
      </w:r>
    </w:p>
    <w:p w:rsidR="00B16389" w:rsidRDefault="00B16389">
      <w:pPr>
        <w:widowControl w:val="0"/>
        <w:shd w:val="clear" w:color="auto" w:fill="FFFFFF"/>
        <w:autoSpaceDE w:val="0"/>
        <w:autoSpaceDN w:val="0"/>
        <w:adjustRightInd w:val="0"/>
        <w:spacing w:after="0" w:line="240" w:lineRule="auto"/>
        <w:ind w:left="121" w:right="107"/>
        <w:jc w:val="center"/>
        <w:rPr>
          <w:rFonts w:ascii="Switzerland" w:hAnsi="Switzerland" w:cs="Switzerland"/>
          <w:color w:val="000000"/>
          <w:sz w:val="20"/>
          <w:szCs w:val="20"/>
          <w:highlight w:val="white"/>
        </w:rPr>
      </w:pPr>
    </w:p>
    <w:p w:rsidR="009E53D8" w:rsidRPr="009E53D8" w:rsidRDefault="009E53D8" w:rsidP="009E53D8">
      <w:pPr>
        <w:spacing w:after="0" w:line="288" w:lineRule="auto"/>
        <w:ind w:firstLine="1134"/>
        <w:jc w:val="both"/>
        <w:rPr>
          <w:rFonts w:ascii="Cambria" w:hAnsi="Cambria" w:cs="Cambria"/>
          <w:w w:val="110"/>
          <w:sz w:val="20"/>
          <w:szCs w:val="20"/>
          <w:lang w:val="es-ES" w:eastAsia="es-ES"/>
        </w:rPr>
      </w:pPr>
      <w:r w:rsidRPr="009E53D8">
        <w:rPr>
          <w:rFonts w:ascii="Switzerland" w:hAnsi="Switzerland" w:cs="Switzerland"/>
          <w:w w:val="110"/>
          <w:sz w:val="20"/>
          <w:szCs w:val="20"/>
          <w:lang w:eastAsia="es-ES"/>
        </w:rPr>
        <w:t>La Superintendencia de Seguros de la Nación (SSN) es un Organismo descentralizado, del ámbito del Ministerio de Economía y Finanzas Públicas, cuya misión consiste en asesorar al Poder Ejecutivo Nacional en todo lo atinente a la política vinculada al mercado asegurador, así como en ejercer la supervisión de las entidades de seguros y reaseguros en la República Argentina, con el propósito de procurar un mercado solvente, estable y eficiente, promoviendo de esta forma la protección de los ciudadanos usuarios, conforme con las prescripciones de las Leyes Nº 20.091 de Entidades de Seguros y su Control, Nº 22.400 del Régimen de los Productores-Asesores de Seguros, según las competencias que le otorgan las Leyes Nº 24.241 del Sistema Integrado de Jubilaciones y Pensiones, Nº 24.557 de Riesgos del Trabajo y los principios básicos en materia aseguradora reconocidos con carácter internacional.</w:t>
      </w:r>
    </w:p>
    <w:p w:rsidR="009E53D8" w:rsidRPr="009E53D8" w:rsidRDefault="009E53D8" w:rsidP="009E53D8">
      <w:pPr>
        <w:spacing w:after="0" w:line="288" w:lineRule="auto"/>
        <w:ind w:firstLine="1134"/>
        <w:jc w:val="both"/>
        <w:rPr>
          <w:rFonts w:ascii="Switzerland" w:hAnsi="Switzerland" w:cs="Switzerland"/>
          <w:w w:val="110"/>
          <w:sz w:val="20"/>
          <w:szCs w:val="20"/>
          <w:lang w:eastAsia="es-ES"/>
        </w:rPr>
      </w:pPr>
    </w:p>
    <w:p w:rsidR="009E53D8" w:rsidRPr="009E53D8" w:rsidRDefault="009E53D8" w:rsidP="009E53D8">
      <w:pPr>
        <w:spacing w:after="0" w:line="288" w:lineRule="auto"/>
        <w:ind w:firstLine="1134"/>
        <w:jc w:val="both"/>
        <w:rPr>
          <w:rFonts w:ascii="Switzerland" w:hAnsi="Switzerland" w:cs="Switzerland"/>
          <w:w w:val="110"/>
          <w:sz w:val="20"/>
          <w:szCs w:val="20"/>
          <w:lang w:eastAsia="es-ES"/>
        </w:rPr>
      </w:pPr>
      <w:r w:rsidRPr="009E53D8">
        <w:rPr>
          <w:rFonts w:ascii="Switzerland" w:hAnsi="Switzerland" w:cs="Switzerland"/>
          <w:w w:val="110"/>
          <w:sz w:val="20"/>
          <w:szCs w:val="20"/>
          <w:lang w:eastAsia="es-ES"/>
        </w:rPr>
        <w:t xml:space="preserve">De acuerdo a la misión y objetivos que la normativa vigente establece para la SSN, el Organismo promueve un conjunto de servicios con competencia exclusiva en el territorio nacional, que a continuación se enuncian: </w:t>
      </w:r>
    </w:p>
    <w:p w:rsidR="009E53D8" w:rsidRPr="009E53D8" w:rsidRDefault="009E53D8" w:rsidP="009E53D8">
      <w:pPr>
        <w:spacing w:after="0" w:line="288" w:lineRule="auto"/>
        <w:ind w:left="284" w:hanging="284"/>
        <w:jc w:val="both"/>
        <w:rPr>
          <w:rFonts w:ascii="Switzerland" w:hAnsi="Switzerland" w:cs="Switzerland"/>
          <w:w w:val="110"/>
          <w:sz w:val="20"/>
          <w:szCs w:val="20"/>
          <w:lang w:eastAsia="es-ES"/>
        </w:rPr>
      </w:pPr>
    </w:p>
    <w:p w:rsidR="009E53D8" w:rsidRPr="009E53D8" w:rsidRDefault="009E53D8" w:rsidP="0026765C">
      <w:pPr>
        <w:numPr>
          <w:ilvl w:val="0"/>
          <w:numId w:val="2"/>
        </w:numPr>
        <w:tabs>
          <w:tab w:val="clear" w:pos="360"/>
        </w:tabs>
        <w:spacing w:after="0" w:line="288" w:lineRule="auto"/>
        <w:ind w:left="284" w:hanging="284"/>
        <w:jc w:val="both"/>
        <w:rPr>
          <w:rFonts w:ascii="Switzerland" w:hAnsi="Switzerland" w:cs="Switzerland"/>
          <w:w w:val="110"/>
          <w:sz w:val="20"/>
          <w:szCs w:val="20"/>
          <w:lang w:eastAsia="es-ES"/>
        </w:rPr>
      </w:pPr>
      <w:r w:rsidRPr="009E53D8">
        <w:rPr>
          <w:rFonts w:ascii="Switzerland" w:hAnsi="Switzerland" w:cs="Switzerland"/>
          <w:w w:val="110"/>
          <w:sz w:val="20"/>
          <w:szCs w:val="20"/>
          <w:lang w:eastAsia="es-ES"/>
        </w:rPr>
        <w:t>Regulación de la actividad aseguradora: elabora la normativa que regula a dicha actividad, definiendo los criterios para la valuación de activos, constitución de pasivos y las reglas de inversión y retención de riesgos que promuevan el desarrollo solvente de la actividad, fijando con carácter general y uniforme los capitales mínimos para operar y los respectivos márgenes de solvencia.</w:t>
      </w:r>
    </w:p>
    <w:p w:rsidR="009E53D8" w:rsidRPr="009E53D8" w:rsidRDefault="009E53D8" w:rsidP="0026765C">
      <w:pPr>
        <w:numPr>
          <w:ilvl w:val="0"/>
          <w:numId w:val="2"/>
        </w:numPr>
        <w:tabs>
          <w:tab w:val="clear" w:pos="360"/>
        </w:tabs>
        <w:spacing w:after="0" w:line="288" w:lineRule="auto"/>
        <w:ind w:left="284" w:hanging="284"/>
        <w:jc w:val="both"/>
        <w:rPr>
          <w:rFonts w:ascii="Switzerland" w:hAnsi="Switzerland" w:cs="Switzerland"/>
          <w:w w:val="110"/>
          <w:sz w:val="20"/>
          <w:szCs w:val="20"/>
          <w:lang w:eastAsia="es-ES"/>
        </w:rPr>
      </w:pPr>
      <w:r w:rsidRPr="009E53D8">
        <w:rPr>
          <w:rFonts w:ascii="Switzerland" w:hAnsi="Switzerland" w:cs="Switzerland"/>
          <w:w w:val="110"/>
          <w:sz w:val="20"/>
          <w:szCs w:val="20"/>
          <w:lang w:eastAsia="es-ES"/>
        </w:rPr>
        <w:t>Supervisión de la actividad aseguradora: efectúa las actividades de evaluación, control e inspección de los operadores del mercado con la finalidad de garantizar el cumplimiento de las disposiciones legales y regulaciones vigentes, en protección de los intereses de los asegurados, poniendo especial atención en las tareas preventivas de riesgo de insolvencia.</w:t>
      </w:r>
    </w:p>
    <w:p w:rsidR="009E53D8" w:rsidRPr="009E53D8" w:rsidRDefault="009E53D8" w:rsidP="0026765C">
      <w:pPr>
        <w:numPr>
          <w:ilvl w:val="0"/>
          <w:numId w:val="2"/>
        </w:numPr>
        <w:tabs>
          <w:tab w:val="clear" w:pos="360"/>
        </w:tabs>
        <w:spacing w:after="0" w:line="288" w:lineRule="auto"/>
        <w:ind w:left="284" w:hanging="284"/>
        <w:jc w:val="both"/>
        <w:rPr>
          <w:rFonts w:ascii="Switzerland" w:hAnsi="Switzerland" w:cs="Switzerland"/>
          <w:w w:val="110"/>
          <w:sz w:val="20"/>
          <w:szCs w:val="20"/>
          <w:lang w:eastAsia="es-ES"/>
        </w:rPr>
      </w:pPr>
      <w:r w:rsidRPr="009E53D8">
        <w:rPr>
          <w:rFonts w:ascii="Switzerland" w:hAnsi="Switzerland" w:cs="Switzerland"/>
          <w:w w:val="110"/>
          <w:sz w:val="20"/>
          <w:szCs w:val="20"/>
          <w:lang w:eastAsia="es-ES"/>
        </w:rPr>
        <w:t>Inscripción y autorización para operar: autoriza el funcionamiento de nuevas entidades, valorando la capacidad de los accionistas, directores y administradores y la solidez de los proyectos constitutivos, confeccionando un conjunto de registros donde se actualiza y sistematiza toda la información referida a los operadores del sistema.</w:t>
      </w:r>
    </w:p>
    <w:p w:rsidR="009E53D8" w:rsidRPr="009E53D8" w:rsidRDefault="009E53D8" w:rsidP="0026765C">
      <w:pPr>
        <w:numPr>
          <w:ilvl w:val="0"/>
          <w:numId w:val="2"/>
        </w:numPr>
        <w:tabs>
          <w:tab w:val="clear" w:pos="360"/>
        </w:tabs>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Relevamiento del mercado asegurador: realiza estudios económico-financieros y estadísticos para describir la situación del mercado asegurador y las características de su evolución y, a través de diferentes canales, pone a disposición de la comunidad una serie de indicadores que reflejan sintéticamente la situación patrimonial, financiera y de gestión de cada compañía.</w:t>
      </w:r>
    </w:p>
    <w:p w:rsidR="009E53D8" w:rsidRPr="009E53D8" w:rsidRDefault="009E53D8" w:rsidP="009E53D8">
      <w:pPr>
        <w:spacing w:after="0" w:line="288" w:lineRule="auto"/>
        <w:ind w:firstLine="1134"/>
        <w:jc w:val="both"/>
        <w:rPr>
          <w:rFonts w:ascii="Switzerland" w:hAnsi="Switzerland" w:cs="Switzerland"/>
          <w:w w:val="110"/>
          <w:sz w:val="20"/>
          <w:szCs w:val="20"/>
          <w:lang w:eastAsia="es-ES"/>
        </w:rPr>
      </w:pPr>
    </w:p>
    <w:p w:rsidR="009E53D8" w:rsidRPr="009E53D8" w:rsidRDefault="009E53D8" w:rsidP="009E53D8">
      <w:pPr>
        <w:spacing w:after="0" w:line="288" w:lineRule="auto"/>
        <w:ind w:firstLine="1134"/>
        <w:jc w:val="both"/>
        <w:rPr>
          <w:rFonts w:ascii="Switzerland" w:hAnsi="Switzerland" w:cs="Switzerland"/>
          <w:sz w:val="20"/>
          <w:szCs w:val="20"/>
          <w:lang w:eastAsia="es-ES"/>
        </w:rPr>
      </w:pPr>
      <w:r w:rsidRPr="009E53D8">
        <w:rPr>
          <w:rFonts w:ascii="Switzerland" w:hAnsi="Switzerland" w:cs="Switzerland"/>
          <w:w w:val="110"/>
          <w:sz w:val="20"/>
          <w:szCs w:val="20"/>
          <w:lang w:eastAsia="es-ES"/>
        </w:rPr>
        <w:t xml:space="preserve">La SSN, según la Ley Nº 20.091, es un Organismo autárquico con autonomía funcional y financiera, el cual subvenciona los gastos </w:t>
      </w:r>
      <w:r w:rsidRPr="009E53D8">
        <w:rPr>
          <w:rFonts w:ascii="Switzerland" w:hAnsi="Switzerland" w:cs="Switzerland"/>
          <w:sz w:val="20"/>
          <w:szCs w:val="20"/>
          <w:lang w:eastAsia="es-ES"/>
        </w:rPr>
        <w:t xml:space="preserve">de su funcionamiento con los recursos proveniente de la Tasa Uniforme, que constituye el recurso principal del Organismo, el cual se recauda y controla conforme la normativa vigente en la materia emanada de la Ley Nº 20.091; </w:t>
      </w:r>
      <w:bookmarkStart w:id="0" w:name="_GoBack"/>
      <w:bookmarkEnd w:id="0"/>
      <w:r w:rsidRPr="009E53D8">
        <w:rPr>
          <w:rFonts w:ascii="Switzerland" w:hAnsi="Switzerland" w:cs="Switzerland"/>
          <w:sz w:val="20"/>
          <w:szCs w:val="20"/>
          <w:lang w:eastAsia="es-ES"/>
        </w:rPr>
        <w:t>el Arancel Anual, matrícula a cargo de los Productores-Asesores de Seguros y Liquidadores de Siniestros y Averías; las multas en concepto de recargos por falta de pago oportuno de los ingresos indicados precedentemente; y otros recursos en concepto de venta de publicaciones, recupero de gastos, ingresos eventuales, entre otros.</w:t>
      </w:r>
    </w:p>
    <w:p w:rsidR="009E53D8" w:rsidRPr="009E53D8" w:rsidRDefault="009E53D8" w:rsidP="009E53D8">
      <w:pPr>
        <w:spacing w:after="0" w:line="288" w:lineRule="auto"/>
        <w:ind w:firstLine="1134"/>
        <w:jc w:val="both"/>
        <w:rPr>
          <w:rFonts w:ascii="Switzerland" w:hAnsi="Switzerland" w:cs="Switzerland"/>
          <w:sz w:val="20"/>
          <w:szCs w:val="20"/>
          <w:lang w:eastAsia="es-ES"/>
        </w:rPr>
      </w:pPr>
    </w:p>
    <w:p w:rsidR="009E53D8" w:rsidRPr="009E53D8" w:rsidRDefault="009E53D8" w:rsidP="009E53D8">
      <w:pPr>
        <w:spacing w:after="0" w:line="288" w:lineRule="auto"/>
        <w:ind w:firstLine="1134"/>
        <w:jc w:val="both"/>
        <w:rPr>
          <w:rFonts w:ascii="Switzerland" w:hAnsi="Switzerland" w:cs="Switzerland"/>
          <w:sz w:val="20"/>
          <w:szCs w:val="20"/>
          <w:lang w:eastAsia="es-ES"/>
        </w:rPr>
      </w:pPr>
      <w:r w:rsidRPr="009E53D8">
        <w:rPr>
          <w:rFonts w:ascii="Switzerland" w:hAnsi="Switzerland" w:cs="Switzerland"/>
          <w:sz w:val="20"/>
          <w:szCs w:val="20"/>
          <w:lang w:eastAsia="es-ES"/>
        </w:rPr>
        <w:t>En ese marco, los objetivos de la política presupuestaria para el ejercicio 2016 son los siguientes:</w:t>
      </w:r>
    </w:p>
    <w:p w:rsidR="009E53D8" w:rsidRPr="009E53D8" w:rsidRDefault="009E53D8" w:rsidP="009E53D8">
      <w:pPr>
        <w:spacing w:after="0" w:line="288" w:lineRule="auto"/>
        <w:ind w:firstLine="1134"/>
        <w:jc w:val="both"/>
        <w:rPr>
          <w:rFonts w:ascii="Switzerland" w:hAnsi="Switzerland" w:cs="Switzerland"/>
          <w:sz w:val="20"/>
          <w:szCs w:val="20"/>
          <w:lang w:eastAsia="es-ES"/>
        </w:rPr>
      </w:pP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Realizar el seguimiento del cumplimiento de las metas y medidas activas establecidas en el Plan Nacional Estratégico del Seguro 2012-2020 (</w:t>
      </w:r>
      <w:proofErr w:type="spellStart"/>
      <w:r w:rsidRPr="009E53D8">
        <w:rPr>
          <w:rFonts w:ascii="Switzerland" w:hAnsi="Switzerland" w:cs="Switzerland"/>
          <w:sz w:val="20"/>
          <w:szCs w:val="20"/>
          <w:lang w:eastAsia="es-ES"/>
        </w:rPr>
        <w:t>PlaNeS</w:t>
      </w:r>
      <w:proofErr w:type="spellEnd"/>
      <w:r w:rsidRPr="009E53D8">
        <w:rPr>
          <w:rFonts w:ascii="Switzerland" w:hAnsi="Switzerland" w:cs="Switzerland"/>
          <w:sz w:val="20"/>
          <w:szCs w:val="20"/>
          <w:lang w:eastAsia="es-ES"/>
        </w:rPr>
        <w:t>); que permitirá obtener un sector del seguro mucho más fortalecido, eficiente y orientado a brindar cada vez más beneficios a los usuarios y asegurados. Dicho Plan Estratégico entrará en su quinto año desde que fue implementado, superando las expectativas de las metas que se habían impuesto.</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 xml:space="preserve">Continuar con el fortalecimiento de la supervisión y revisión de la actividad aseguradora y reaseguradora, a partir de la incesante incorporación de tecnología y de diferentes desarrollos de sistemas que logren acotar los tiempos de control hasta lograr el monitoreo de forma online del sector asegurador. En la actualidad se cuenta con un Panel de Control que contiene la información de las compañías aseguradoras </w:t>
      </w:r>
      <w:proofErr w:type="spellStart"/>
      <w:r w:rsidRPr="009E53D8">
        <w:rPr>
          <w:rFonts w:ascii="Switzerland" w:hAnsi="Switzerland" w:cs="Switzerland"/>
          <w:sz w:val="20"/>
          <w:szCs w:val="20"/>
          <w:lang w:eastAsia="es-ES"/>
        </w:rPr>
        <w:t>on</w:t>
      </w:r>
      <w:proofErr w:type="spellEnd"/>
      <w:r w:rsidRPr="009E53D8">
        <w:rPr>
          <w:rFonts w:ascii="Switzerland" w:hAnsi="Switzerland" w:cs="Switzerland"/>
          <w:sz w:val="20"/>
          <w:szCs w:val="20"/>
          <w:lang w:eastAsia="es-ES"/>
        </w:rPr>
        <w:t xml:space="preserve"> line.</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Fortalecer los controles a las entidades autorizadas a operar en seguros, basados en la incorporación de nuevas tecnologías, que permitan aplicar acciones correctivas con un menor tiempo de respuesta.</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Expandir a otros ramos de la actividad aseguradora, los alcances del Sistema de Póliza Digital. Se intensificará esta política para que todos los seguros obligatorios formen parte del Sistema de Póliza Digital.</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Avanzar con el Plan de Calidad definido en el Marco de la nueva Carta Compromiso con el Ciudadano suscripta en el año 2014, continuando con la certificación de diversos servicios que el Organismo presta a los distintos usuarios.</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Afianzar las políticas y procedimientos de supervisión en materia de Prevención de Lavado de Activos y Financiamiento del Terrorismo, conforme con los lineamientos que establezca la Unidad de Información Financiera (UIF).</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lastRenderedPageBreak/>
        <w:t>Consolidar los mecanismos de control a fin de garantizar la necesaria solvencia de aseguradoras y reaseguradoras que operen en el país.</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Continuar con el plan de capacitación establecido para el personal de este Organismo, con la finalidad de jerarquizar y tecnificar el mismo, con miras a dar acabada respuesta a la demanda que significará la modernización global a la que está siendo sometida la Superintendencia de Seguros de la Nación.</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Apuntalar los sistemas informáticos del Organismo, dotándolo de un moderno parque tecnológico y servidores que soporten dichos sistemas.</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Continuar desarrollando y afianzando el flamante mercado reasegurador nacional.</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Continuar con el proceso de Federalización y Descentralización del Organismo, con la finalidad de convertir a la Superintendencia de Seguros en un Organismo realmente federal, que se encuentre cerca de los consumidores de seguros, más allá de la ubicación geográfica que ostenten.</w:t>
      </w:r>
    </w:p>
    <w:p w:rsidR="009E53D8" w:rsidRPr="009E53D8" w:rsidRDefault="009E53D8" w:rsidP="009E53D8">
      <w:pPr>
        <w:numPr>
          <w:ilvl w:val="0"/>
          <w:numId w:val="3"/>
        </w:numPr>
        <w:spacing w:after="0" w:line="288" w:lineRule="auto"/>
        <w:ind w:left="284" w:hanging="284"/>
        <w:jc w:val="both"/>
        <w:rPr>
          <w:rFonts w:ascii="Switzerland" w:hAnsi="Switzerland" w:cs="Switzerland"/>
          <w:sz w:val="20"/>
          <w:szCs w:val="20"/>
          <w:lang w:eastAsia="es-ES"/>
        </w:rPr>
      </w:pPr>
      <w:r w:rsidRPr="009E53D8">
        <w:rPr>
          <w:rFonts w:ascii="Switzerland" w:hAnsi="Switzerland" w:cs="Switzerland"/>
          <w:sz w:val="20"/>
          <w:szCs w:val="20"/>
          <w:lang w:eastAsia="es-ES"/>
        </w:rPr>
        <w:t>Continuar e intensificar el trabajo del Departamento de Orientación al Asegurado (DOAA) mejorando la asistencia a los asegurados y favoreciendo la resolución de conflictos que se puedan suscitar, con explícita aplicación de la normativa relacionada con Defensa del Consumidor.</w:t>
      </w:r>
    </w:p>
    <w:p w:rsidR="009E53D8" w:rsidRPr="009E53D8" w:rsidRDefault="009E53D8" w:rsidP="009E53D8">
      <w:pPr>
        <w:spacing w:after="0" w:line="288" w:lineRule="auto"/>
        <w:jc w:val="both"/>
        <w:rPr>
          <w:rFonts w:ascii="Switzerland" w:hAnsi="Switzerland" w:cs="Switzerland"/>
          <w:sz w:val="20"/>
          <w:szCs w:val="20"/>
          <w:lang w:eastAsia="es-ES"/>
        </w:rPr>
      </w:pPr>
    </w:p>
    <w:p w:rsidR="00B16389" w:rsidRDefault="00B16389">
      <w:pPr>
        <w:widowControl w:val="0"/>
        <w:shd w:val="clear" w:color="auto" w:fill="FFFFFF"/>
        <w:autoSpaceDE w:val="0"/>
        <w:autoSpaceDN w:val="0"/>
        <w:adjustRightInd w:val="0"/>
        <w:spacing w:after="0" w:line="240" w:lineRule="auto"/>
        <w:ind w:left="121" w:right="107"/>
        <w:rPr>
          <w:rFonts w:ascii="Switzerland" w:hAnsi="Switzerland" w:cs="Switzerland"/>
          <w:color w:val="000000"/>
          <w:sz w:val="20"/>
          <w:szCs w:val="20"/>
          <w:highlight w:val="white"/>
        </w:rPr>
      </w:pPr>
    </w:p>
    <w:p w:rsidR="00B16389" w:rsidRDefault="00B16389">
      <w:pPr>
        <w:widowControl w:val="0"/>
        <w:shd w:val="clear" w:color="auto" w:fill="FFFFFF"/>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p w:rsidR="00B16389" w:rsidRDefault="00B16389">
      <w:pPr>
        <w:widowControl w:val="0"/>
        <w:shd w:val="clear" w:color="auto" w:fill="FFFFFF"/>
        <w:autoSpaceDE w:val="0"/>
        <w:autoSpaceDN w:val="0"/>
        <w:adjustRightInd w:val="0"/>
        <w:spacing w:after="0" w:line="240" w:lineRule="auto"/>
        <w:ind w:left="121" w:right="107"/>
        <w:rPr>
          <w:rFonts w:ascii="Switzerland" w:hAnsi="Switzerland" w:cs="Switzerland"/>
          <w:color w:val="000000"/>
          <w:sz w:val="12"/>
          <w:szCs w:val="12"/>
          <w:highlight w:val="white"/>
        </w:rPr>
      </w:pPr>
      <w:r>
        <w:rPr>
          <w:rFonts w:ascii="Switzerland" w:hAnsi="Switzerland" w:cs="Switzerland"/>
          <w:color w:val="000000"/>
          <w:sz w:val="12"/>
          <w:szCs w:val="12"/>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847"/>
        <w:gridCol w:w="836"/>
        <w:gridCol w:w="5085"/>
        <w:gridCol w:w="2034"/>
      </w:tblGrid>
      <w:tr w:rsidR="00B16389">
        <w:tblPrEx>
          <w:tblCellMar>
            <w:top w:w="0" w:type="dxa"/>
            <w:left w:w="0" w:type="dxa"/>
            <w:bottom w:w="0" w:type="dxa"/>
            <w:right w:w="0" w:type="dxa"/>
          </w:tblCellMar>
        </w:tblPrEx>
        <w:trPr>
          <w:tblHeader/>
        </w:trPr>
        <w:tc>
          <w:tcPr>
            <w:tcW w:w="8802" w:type="dxa"/>
            <w:gridSpan w:val="4"/>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GASTOS POR FINALIDADES Y FUNCIONES (ENTIDAD)</w:t>
            </w:r>
          </w:p>
        </w:tc>
      </w:tr>
      <w:tr w:rsidR="00B16389">
        <w:tblPrEx>
          <w:tblCellMar>
            <w:top w:w="0" w:type="dxa"/>
            <w:left w:w="0" w:type="dxa"/>
            <w:bottom w:w="0" w:type="dxa"/>
            <w:right w:w="0" w:type="dxa"/>
          </w:tblCellMar>
        </w:tblPrEx>
        <w:trPr>
          <w:tblHeader/>
        </w:trPr>
        <w:tc>
          <w:tcPr>
            <w:tcW w:w="8802" w:type="dxa"/>
            <w:gridSpan w:val="4"/>
            <w:tcBorders>
              <w:top w:val="nil"/>
              <w:left w:val="nil"/>
              <w:bottom w:val="single" w:sz="12" w:space="0" w:color="000000"/>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tblHeader/>
        </w:trPr>
        <w:tc>
          <w:tcPr>
            <w:tcW w:w="847"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FIN</w:t>
            </w:r>
          </w:p>
        </w:tc>
        <w:tc>
          <w:tcPr>
            <w:tcW w:w="836"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FUN</w:t>
            </w:r>
          </w:p>
        </w:tc>
        <w:tc>
          <w:tcPr>
            <w:tcW w:w="5085"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shd w:val="clear" w:color="auto" w:fill="FFFFFF"/>
              <w:autoSpaceDE w:val="0"/>
              <w:autoSpaceDN w:val="0"/>
              <w:adjustRightInd w:val="0"/>
              <w:spacing w:after="0" w:line="240" w:lineRule="auto"/>
              <w:ind w:left="108" w:right="108"/>
              <w:rPr>
                <w:rFonts w:ascii="Arial" w:hAnsi="Arial" w:cs="Arial"/>
                <w:b/>
                <w:bCs/>
                <w:color w:val="000000"/>
                <w:sz w:val="16"/>
                <w:szCs w:val="16"/>
              </w:rPr>
            </w:pPr>
            <w:r>
              <w:rPr>
                <w:rFonts w:ascii="Arial" w:hAnsi="Arial" w:cs="Arial"/>
                <w:b/>
                <w:bCs/>
                <w:color w:val="000000"/>
                <w:sz w:val="16"/>
                <w:szCs w:val="16"/>
              </w:rPr>
              <w:t>DENOMINACION</w:t>
            </w:r>
          </w:p>
        </w:tc>
        <w:tc>
          <w:tcPr>
            <w:tcW w:w="2034"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shd w:val="clear" w:color="auto" w:fill="FFFFFF"/>
              <w:autoSpaceDE w:val="0"/>
              <w:autoSpaceDN w:val="0"/>
              <w:adjustRightInd w:val="0"/>
              <w:spacing w:after="0" w:line="240" w:lineRule="auto"/>
              <w:ind w:left="108" w:right="108"/>
              <w:jc w:val="center"/>
              <w:rPr>
                <w:rFonts w:ascii="Arial" w:hAnsi="Arial" w:cs="Arial"/>
                <w:b/>
                <w:bCs/>
                <w:color w:val="000000"/>
                <w:sz w:val="16"/>
                <w:szCs w:val="16"/>
              </w:rPr>
            </w:pPr>
            <w:r>
              <w:rPr>
                <w:rFonts w:ascii="Arial" w:hAnsi="Arial" w:cs="Arial"/>
                <w:b/>
                <w:bCs/>
                <w:color w:val="000000"/>
                <w:sz w:val="16"/>
                <w:szCs w:val="16"/>
              </w:rPr>
              <w:t xml:space="preserve">IMPORTE </w:t>
            </w:r>
          </w:p>
        </w:tc>
      </w:tr>
      <w:tr w:rsidR="00B16389">
        <w:tblPrEx>
          <w:tblCellMar>
            <w:top w:w="0" w:type="dxa"/>
            <w:left w:w="0" w:type="dxa"/>
            <w:bottom w:w="0" w:type="dxa"/>
            <w:right w:w="0" w:type="dxa"/>
          </w:tblCellMar>
        </w:tblPrEx>
        <w:tc>
          <w:tcPr>
            <w:tcW w:w="84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847"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4</w:t>
            </w:r>
          </w:p>
        </w:tc>
        <w:tc>
          <w:tcPr>
            <w:tcW w:w="836"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8</w:t>
            </w:r>
          </w:p>
        </w:tc>
        <w:tc>
          <w:tcPr>
            <w:tcW w:w="5085"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Seguros y Finanzas</w:t>
            </w:r>
          </w:p>
        </w:tc>
        <w:tc>
          <w:tcPr>
            <w:tcW w:w="2034"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418.495.000 </w:t>
            </w:r>
          </w:p>
        </w:tc>
      </w:tr>
      <w:tr w:rsidR="00B16389">
        <w:tblPrEx>
          <w:tblCellMar>
            <w:top w:w="0" w:type="dxa"/>
            <w:left w:w="0" w:type="dxa"/>
            <w:bottom w:w="0" w:type="dxa"/>
            <w:right w:w="0" w:type="dxa"/>
          </w:tblCellMar>
        </w:tblPrEx>
        <w:tc>
          <w:tcPr>
            <w:tcW w:w="847"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9</w:t>
            </w:r>
          </w:p>
        </w:tc>
        <w:tc>
          <w:tcPr>
            <w:tcW w:w="836"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9</w:t>
            </w:r>
          </w:p>
        </w:tc>
        <w:tc>
          <w:tcPr>
            <w:tcW w:w="5085"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6"/>
                <w:szCs w:val="16"/>
              </w:rPr>
            </w:pPr>
            <w:r>
              <w:rPr>
                <w:rFonts w:ascii="Arial" w:hAnsi="Arial" w:cs="Arial"/>
                <w:color w:val="000000"/>
                <w:sz w:val="16"/>
                <w:szCs w:val="16"/>
              </w:rPr>
              <w:t>Gastos Figurativos</w:t>
            </w:r>
          </w:p>
        </w:tc>
        <w:tc>
          <w:tcPr>
            <w:tcW w:w="2034"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6"/>
                <w:szCs w:val="16"/>
              </w:rPr>
            </w:pPr>
            <w:r>
              <w:rPr>
                <w:rFonts w:ascii="Arial" w:hAnsi="Arial" w:cs="Arial"/>
                <w:color w:val="000000"/>
                <w:sz w:val="16"/>
                <w:szCs w:val="16"/>
              </w:rPr>
              <w:t xml:space="preserve">53.333.000 </w:t>
            </w:r>
          </w:p>
        </w:tc>
      </w:tr>
      <w:tr w:rsidR="00B16389">
        <w:tblPrEx>
          <w:tblCellMar>
            <w:top w:w="0" w:type="dxa"/>
            <w:left w:w="0" w:type="dxa"/>
            <w:bottom w:w="0" w:type="dxa"/>
            <w:right w:w="0" w:type="dxa"/>
          </w:tblCellMar>
        </w:tblPrEx>
        <w:tc>
          <w:tcPr>
            <w:tcW w:w="84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836"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847" w:type="dxa"/>
            <w:tcBorders>
              <w:top w:val="single" w:sz="12" w:space="0" w:color="000000"/>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b/>
                <w:bCs/>
                <w:color w:val="000000"/>
                <w:sz w:val="16"/>
                <w:szCs w:val="16"/>
              </w:rPr>
            </w:pPr>
            <w:r>
              <w:rPr>
                <w:rFonts w:ascii="Arial" w:hAnsi="Arial" w:cs="Arial"/>
                <w:b/>
                <w:bCs/>
                <w:color w:val="000000"/>
                <w:sz w:val="16"/>
                <w:szCs w:val="16"/>
              </w:rPr>
              <w:t>TOTAL</w:t>
            </w:r>
          </w:p>
        </w:tc>
        <w:tc>
          <w:tcPr>
            <w:tcW w:w="836" w:type="dxa"/>
            <w:tcBorders>
              <w:top w:val="single" w:sz="12" w:space="0" w:color="000000"/>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5085" w:type="dxa"/>
            <w:tcBorders>
              <w:top w:val="single" w:sz="12" w:space="0" w:color="000000"/>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034" w:type="dxa"/>
            <w:tcBorders>
              <w:top w:val="single" w:sz="12" w:space="0" w:color="000000"/>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6"/>
                <w:szCs w:val="16"/>
              </w:rPr>
            </w:pPr>
            <w:r>
              <w:rPr>
                <w:rFonts w:ascii="Arial" w:hAnsi="Arial" w:cs="Arial"/>
                <w:b/>
                <w:bCs/>
                <w:color w:val="000000"/>
                <w:sz w:val="16"/>
                <w:szCs w:val="16"/>
              </w:rPr>
              <w:t>471.828.000</w:t>
            </w:r>
          </w:p>
        </w:tc>
      </w:tr>
    </w:tbl>
    <w:p w:rsidR="00B16389" w:rsidRDefault="00B16389">
      <w:pPr>
        <w:widowControl w:val="0"/>
        <w:autoSpaceDE w:val="0"/>
        <w:autoSpaceDN w:val="0"/>
        <w:adjustRightInd w:val="0"/>
        <w:spacing w:after="0" w:line="240" w:lineRule="auto"/>
        <w:ind w:left="121" w:right="107"/>
        <w:rPr>
          <w:rFonts w:ascii="Arial" w:hAnsi="Arial" w:cs="Arial"/>
          <w:color w:val="000000"/>
          <w:sz w:val="16"/>
          <w:szCs w:val="16"/>
        </w:rPr>
      </w:pPr>
    </w:p>
    <w:p w:rsidR="00B16389" w:rsidRDefault="00B16389">
      <w:pPr>
        <w:widowControl w:val="0"/>
        <w:autoSpaceDE w:val="0"/>
        <w:autoSpaceDN w:val="0"/>
        <w:adjustRightInd w:val="0"/>
        <w:spacing w:after="0" w:line="240" w:lineRule="auto"/>
        <w:ind w:left="121" w:right="107"/>
        <w:rPr>
          <w:rFonts w:ascii="Arial" w:hAnsi="Arial" w:cs="Arial"/>
          <w:color w:val="000000"/>
          <w:sz w:val="16"/>
          <w:szCs w:val="16"/>
        </w:rPr>
      </w:pPr>
    </w:p>
    <w:p w:rsidR="00B16389" w:rsidRDefault="00B16389">
      <w:pPr>
        <w:widowControl w:val="0"/>
        <w:autoSpaceDE w:val="0"/>
        <w:autoSpaceDN w:val="0"/>
        <w:adjustRightInd w:val="0"/>
        <w:spacing w:after="0" w:line="240" w:lineRule="auto"/>
        <w:ind w:left="121" w:right="107"/>
        <w:rPr>
          <w:rFonts w:ascii="Arial" w:hAnsi="Arial" w:cs="Arial"/>
          <w:color w:val="000000"/>
          <w:sz w:val="16"/>
          <w:szCs w:val="16"/>
        </w:rPr>
      </w:pPr>
    </w:p>
    <w:p w:rsidR="00B16389" w:rsidRDefault="00B16389">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sz w:val="24"/>
          <w:szCs w:val="24"/>
        </w:rPr>
        <w:br w:type="page"/>
      </w:r>
    </w:p>
    <w:p w:rsidR="00B16389" w:rsidRDefault="00B16389">
      <w:pPr>
        <w:widowControl w:val="0"/>
        <w:autoSpaceDE w:val="0"/>
        <w:autoSpaceDN w:val="0"/>
        <w:adjustRightInd w:val="0"/>
        <w:spacing w:after="0" w:line="240" w:lineRule="auto"/>
        <w:ind w:left="121" w:right="107"/>
        <w:rPr>
          <w:rFonts w:ascii="Arial" w:hAnsi="Arial" w:cs="Arial"/>
          <w:color w:val="000000"/>
          <w:sz w:val="16"/>
          <w:szCs w:val="16"/>
        </w:rPr>
      </w:pPr>
      <w:r>
        <w:rPr>
          <w:rFonts w:ascii="Arial" w:hAnsi="Arial" w:cs="Arial"/>
          <w:color w:val="000000"/>
          <w:sz w:val="16"/>
          <w:szCs w:val="16"/>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87"/>
        <w:gridCol w:w="2621"/>
      </w:tblGrid>
      <w:tr w:rsidR="00B16389">
        <w:tblPrEx>
          <w:tblCellMar>
            <w:top w:w="0" w:type="dxa"/>
            <w:left w:w="0" w:type="dxa"/>
            <w:bottom w:w="0" w:type="dxa"/>
            <w:right w:w="0" w:type="dxa"/>
          </w:tblCellMar>
        </w:tblPrEx>
        <w:trPr>
          <w:tblHeader/>
        </w:trPr>
        <w:tc>
          <w:tcPr>
            <w:tcW w:w="9108" w:type="dxa"/>
            <w:gridSpan w:val="2"/>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CREDITOS POR INCISO - PARTIDA PRINCIPAL (ENTIDAD)</w:t>
            </w:r>
          </w:p>
        </w:tc>
      </w:tr>
      <w:tr w:rsidR="00B16389">
        <w:tblPrEx>
          <w:tblCellMar>
            <w:top w:w="0" w:type="dxa"/>
            <w:left w:w="0" w:type="dxa"/>
            <w:bottom w:w="0" w:type="dxa"/>
            <w:right w:w="0" w:type="dxa"/>
          </w:tblCellMar>
        </w:tblPrEx>
        <w:trPr>
          <w:tblHeader/>
        </w:trPr>
        <w:tc>
          <w:tcPr>
            <w:tcW w:w="9108" w:type="dxa"/>
            <w:gridSpan w:val="2"/>
            <w:tcBorders>
              <w:top w:val="nil"/>
              <w:left w:val="nil"/>
              <w:bottom w:val="single" w:sz="12" w:space="0" w:color="000000"/>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16389">
        <w:tblPrEx>
          <w:tblCellMar>
            <w:top w:w="0" w:type="dxa"/>
            <w:left w:w="0" w:type="dxa"/>
            <w:bottom w:w="0" w:type="dxa"/>
            <w:right w:w="0" w:type="dxa"/>
          </w:tblCellMar>
        </w:tblPrEx>
        <w:trPr>
          <w:tblHeader/>
        </w:trPr>
        <w:tc>
          <w:tcPr>
            <w:tcW w:w="6487"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INCISO - PARTIDA PRINCIPAL</w:t>
            </w:r>
          </w:p>
        </w:tc>
        <w:tc>
          <w:tcPr>
            <w:tcW w:w="2621"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 xml:space="preserve">IMPORTE </w:t>
            </w:r>
          </w:p>
        </w:tc>
      </w:tr>
      <w:tr w:rsidR="00B16389">
        <w:tblPrEx>
          <w:tblCellMar>
            <w:top w:w="0" w:type="dxa"/>
            <w:left w:w="0" w:type="dxa"/>
            <w:bottom w:w="0" w:type="dxa"/>
            <w:right w:w="0" w:type="dxa"/>
          </w:tblCellMar>
        </w:tblPrEx>
        <w:trPr>
          <w:tblHeader/>
        </w:trPr>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471.828.000</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Gastos en Personal</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329.134.000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Permanente</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238.782.000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Extraordinarios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5.170.000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Asistencia Social al Personal</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281.000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Personal contratado</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84.901.000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Consumo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3.672.000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Alimenticios, Agropecuarios y Forestales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900.000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Textiles y Vestuario</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150.000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Papel, Cartón e Impresos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677.700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de Cuero y Caucho</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25.000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Químicos, Combustibles y Lubricantes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125.000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Productos Metálicos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Bienes de Consumo</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1.764.300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Servicios No Personales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77.383.000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Básicos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2.260.000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Alquileres y Derechos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4.845.000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Mantenimiento, Reparación y Limpieza</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12.201.400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Técnicos y Profesionales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37.288.600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Servicios Comerciales y Financieros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4.289.000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Pasajes y Viáticos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6.675.000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Impuestos, Derechos, Tasas y Juicios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2.624.000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Otros Servicios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7.200.000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Bienes de Uso</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8.000.000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Maquinaria y Equipo</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4.350.000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Libros, Revistas y Otros Elementos Coleccionables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150.000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Activos Intangibles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3.500.000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Transferencias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306.000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proofErr w:type="spellStart"/>
            <w:r>
              <w:rPr>
                <w:rFonts w:ascii="Arial" w:hAnsi="Arial" w:cs="Arial"/>
                <w:color w:val="000000"/>
                <w:sz w:val="20"/>
                <w:szCs w:val="20"/>
              </w:rPr>
              <w:t>Transf</w:t>
            </w:r>
            <w:proofErr w:type="spellEnd"/>
            <w:r>
              <w:rPr>
                <w:rFonts w:ascii="Arial" w:hAnsi="Arial" w:cs="Arial"/>
                <w:color w:val="000000"/>
                <w:sz w:val="20"/>
                <w:szCs w:val="20"/>
              </w:rPr>
              <w:t>. al Sector Privado para Financiar Gastos Corrientes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306.000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62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Gastos Figurativos</w:t>
            </w:r>
            <w:r>
              <w:rPr>
                <w:rFonts w:ascii="Arial" w:hAnsi="Arial" w:cs="Arial"/>
                <w:color w:val="000000"/>
                <w:sz w:val="20"/>
                <w:szCs w:val="20"/>
              </w:rPr>
              <w:t xml:space="preserve"> </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b/>
                <w:bCs/>
                <w:color w:val="000000"/>
                <w:sz w:val="20"/>
                <w:szCs w:val="20"/>
              </w:rPr>
              <w:t>53.333.000</w:t>
            </w:r>
          </w:p>
        </w:tc>
      </w:tr>
      <w:tr w:rsidR="00B16389">
        <w:tblPrEx>
          <w:tblCellMar>
            <w:top w:w="0" w:type="dxa"/>
            <w:left w:w="0" w:type="dxa"/>
            <w:bottom w:w="0" w:type="dxa"/>
            <w:right w:w="0" w:type="dxa"/>
          </w:tblCellMar>
        </w:tblPrEx>
        <w:trPr>
          <w:cantSplit/>
        </w:trPr>
        <w:tc>
          <w:tcPr>
            <w:tcW w:w="6487"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p/Transacciones Corrientes</w:t>
            </w:r>
          </w:p>
        </w:tc>
        <w:tc>
          <w:tcPr>
            <w:tcW w:w="2621" w:type="dxa"/>
            <w:tcBorders>
              <w:top w:val="nil"/>
              <w:left w:val="single" w:sz="12" w:space="0" w:color="000000"/>
              <w:bottom w:val="nil"/>
              <w:right w:val="single" w:sz="12" w:space="0" w:color="000000"/>
            </w:tcBorders>
            <w:shd w:val="clear" w:color="auto" w:fill="FFFFFF"/>
          </w:tcPr>
          <w:p w:rsidR="00B16389" w:rsidRDefault="00B16389">
            <w:pPr>
              <w:keepLines/>
              <w:widowControl w:val="0"/>
              <w:autoSpaceDE w:val="0"/>
              <w:autoSpaceDN w:val="0"/>
              <w:adjustRightInd w:val="0"/>
              <w:spacing w:after="0" w:line="240" w:lineRule="auto"/>
              <w:ind w:left="108" w:right="108"/>
              <w:jc w:val="right"/>
              <w:rPr>
                <w:rFonts w:ascii="Arial" w:hAnsi="Arial" w:cs="Arial"/>
                <w:b/>
                <w:bCs/>
                <w:color w:val="000000"/>
                <w:sz w:val="20"/>
                <w:szCs w:val="20"/>
              </w:rPr>
            </w:pPr>
            <w:r>
              <w:rPr>
                <w:rFonts w:ascii="Arial" w:hAnsi="Arial" w:cs="Arial"/>
                <w:color w:val="000000"/>
                <w:sz w:val="20"/>
                <w:szCs w:val="20"/>
              </w:rPr>
              <w:t>53.333.000</w:t>
            </w:r>
            <w:r>
              <w:rPr>
                <w:rFonts w:ascii="Arial" w:hAnsi="Arial" w:cs="Arial"/>
                <w:b/>
                <w:bCs/>
                <w:color w:val="000000"/>
                <w:sz w:val="20"/>
                <w:szCs w:val="20"/>
              </w:rPr>
              <w:t xml:space="preserve"> </w:t>
            </w:r>
          </w:p>
        </w:tc>
      </w:tr>
      <w:tr w:rsidR="00B16389">
        <w:tblPrEx>
          <w:tblCellMar>
            <w:top w:w="0" w:type="dxa"/>
            <w:left w:w="0" w:type="dxa"/>
            <w:bottom w:w="0" w:type="dxa"/>
            <w:right w:w="0" w:type="dxa"/>
          </w:tblCellMar>
        </w:tblPrEx>
        <w:tc>
          <w:tcPr>
            <w:tcW w:w="6487"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621"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bl>
    <w:p w:rsidR="00B16389" w:rsidRDefault="00B16389">
      <w:pPr>
        <w:widowControl w:val="0"/>
        <w:autoSpaceDE w:val="0"/>
        <w:autoSpaceDN w:val="0"/>
        <w:adjustRightInd w:val="0"/>
        <w:spacing w:after="0" w:line="240" w:lineRule="auto"/>
        <w:ind w:left="121" w:right="107"/>
        <w:rPr>
          <w:rFonts w:ascii="Ottawa" w:hAnsi="Ottawa" w:cs="Ottawa"/>
          <w:color w:val="000000"/>
          <w:sz w:val="16"/>
          <w:szCs w:val="16"/>
        </w:rPr>
      </w:pPr>
    </w:p>
    <w:p w:rsidR="00B16389" w:rsidRDefault="00B16389">
      <w:pPr>
        <w:widowControl w:val="0"/>
        <w:autoSpaceDE w:val="0"/>
        <w:autoSpaceDN w:val="0"/>
        <w:adjustRightInd w:val="0"/>
        <w:spacing w:after="0" w:line="240" w:lineRule="auto"/>
        <w:ind w:left="121" w:right="107"/>
        <w:rPr>
          <w:rFonts w:ascii="Ottawa" w:hAnsi="Ottawa" w:cs="Ottawa"/>
          <w:color w:val="000000"/>
          <w:sz w:val="16"/>
          <w:szCs w:val="16"/>
        </w:rPr>
      </w:pPr>
      <w:r>
        <w:rPr>
          <w:rFonts w:ascii="Arial" w:hAnsi="Arial" w:cs="Arial"/>
          <w:sz w:val="24"/>
          <w:szCs w:val="24"/>
        </w:rPr>
        <w:br w:type="page"/>
      </w:r>
    </w:p>
    <w:p w:rsidR="00B16389" w:rsidRDefault="00B16389">
      <w:pPr>
        <w:widowControl w:val="0"/>
        <w:autoSpaceDE w:val="0"/>
        <w:autoSpaceDN w:val="0"/>
        <w:adjustRightInd w:val="0"/>
        <w:spacing w:after="0" w:line="240" w:lineRule="auto"/>
        <w:ind w:left="121" w:right="107"/>
        <w:jc w:val="center"/>
        <w:rPr>
          <w:rFonts w:ascii="Arial" w:hAnsi="Arial" w:cs="Arial"/>
          <w:color w:val="000000"/>
          <w:sz w:val="16"/>
          <w:szCs w:val="16"/>
        </w:rPr>
      </w:pPr>
      <w:r>
        <w:rPr>
          <w:rFonts w:ascii="Arial" w:hAnsi="Arial" w:cs="Arial"/>
          <w:color w:val="000000"/>
          <w:sz w:val="16"/>
          <w:szCs w:val="16"/>
        </w:rPr>
        <w:t xml:space="preserve"> </w:t>
      </w:r>
    </w:p>
    <w:p w:rsidR="00B16389" w:rsidRDefault="00B16389">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Ottawa" w:hAnsi="Ottawa" w:cs="Ottawa"/>
          <w:b/>
          <w:bCs/>
          <w:color w:val="000000"/>
          <w:sz w:val="24"/>
          <w:szCs w:val="24"/>
        </w:rPr>
        <w:t>CUENTA AHORRO INVERSION FINANCIAMIENTO</w:t>
      </w:r>
    </w:p>
    <w:p w:rsidR="00B16389" w:rsidRDefault="00B16389">
      <w:pPr>
        <w:widowControl w:val="0"/>
        <w:autoSpaceDE w:val="0"/>
        <w:autoSpaceDN w:val="0"/>
        <w:adjustRightInd w:val="0"/>
        <w:spacing w:after="0" w:line="240" w:lineRule="auto"/>
        <w:ind w:left="121" w:right="107"/>
        <w:jc w:val="center"/>
        <w:rPr>
          <w:rFonts w:ascii="Ottawa" w:hAnsi="Ottawa" w:cs="Ottawa"/>
          <w:color w:val="000000"/>
          <w:sz w:val="20"/>
          <w:szCs w:val="20"/>
        </w:rPr>
      </w:pPr>
      <w:r>
        <w:rPr>
          <w:rFonts w:ascii="Ottawa" w:hAnsi="Ottawa" w:cs="Ottawa"/>
          <w:color w:val="000000"/>
          <w:sz w:val="20"/>
          <w:szCs w:val="20"/>
        </w:rPr>
        <w:t>(</w:t>
      </w:r>
      <w:proofErr w:type="gramStart"/>
      <w:r>
        <w:rPr>
          <w:rFonts w:ascii="Ottawa" w:hAnsi="Ottawa" w:cs="Ottawa"/>
          <w:color w:val="000000"/>
          <w:sz w:val="20"/>
          <w:szCs w:val="20"/>
        </w:rPr>
        <w:t>en</w:t>
      </w:r>
      <w:proofErr w:type="gramEnd"/>
      <w:r>
        <w:rPr>
          <w:rFonts w:ascii="Ottawa" w:hAnsi="Ottawa" w:cs="Ottawa"/>
          <w:color w:val="000000"/>
          <w:sz w:val="20"/>
          <w:szCs w:val="20"/>
        </w:rPr>
        <w:t xml:space="preserve"> pesos)</w:t>
      </w:r>
    </w:p>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p>
    <w:tbl>
      <w:tblPr>
        <w:tblW w:w="0" w:type="auto"/>
        <w:tblInd w:w="56" w:type="dxa"/>
        <w:tblLayout w:type="fixed"/>
        <w:tblCellMar>
          <w:left w:w="0" w:type="dxa"/>
          <w:right w:w="0" w:type="dxa"/>
        </w:tblCellMar>
        <w:tblLook w:val="0000" w:firstRow="0" w:lastRow="0" w:firstColumn="0" w:lastColumn="0" w:noHBand="0" w:noVBand="0"/>
      </w:tblPr>
      <w:tblGrid>
        <w:gridCol w:w="6550"/>
        <w:gridCol w:w="2340"/>
      </w:tblGrid>
      <w:tr w:rsidR="00B16389">
        <w:tblPrEx>
          <w:tblCellMar>
            <w:top w:w="0" w:type="dxa"/>
            <w:left w:w="0" w:type="dxa"/>
            <w:bottom w:w="0" w:type="dxa"/>
            <w:right w:w="0" w:type="dxa"/>
          </w:tblCellMar>
        </w:tblPrEx>
        <w:tc>
          <w:tcPr>
            <w:tcW w:w="6550" w:type="dxa"/>
            <w:tcBorders>
              <w:top w:val="single" w:sz="4" w:space="0" w:color="000000"/>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single" w:sz="4" w:space="0" w:color="000000"/>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 Ingresos Corrientes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998.930.080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Ingresos No Tributarios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998.930.080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II) Gastos Corrientes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410.495.000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Gastos de Consumo</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410.189.000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Transferencias Corrientes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306.000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III) </w:t>
            </w:r>
            <w:proofErr w:type="spellStart"/>
            <w:r>
              <w:rPr>
                <w:rFonts w:ascii="Arial" w:hAnsi="Arial" w:cs="Arial"/>
                <w:color w:val="000000"/>
                <w:sz w:val="20"/>
                <w:szCs w:val="20"/>
              </w:rPr>
              <w:t>Result.Econ.Ahorro</w:t>
            </w:r>
            <w:proofErr w:type="spellEnd"/>
            <w:r>
              <w:rPr>
                <w:rFonts w:ascii="Arial" w:hAnsi="Arial" w:cs="Arial"/>
                <w:color w:val="000000"/>
                <w:sz w:val="20"/>
                <w:szCs w:val="20"/>
              </w:rPr>
              <w:t>/Desahorro (I - II)</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588.435.080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IV) Recursos de Capital</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 Gastos de Capital</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8.000.000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Inversión Real Directa</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8.000.000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VI) Recursos Totales (I + IV)</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998.930.080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VII) Gastos Totales (II + V)</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418.495.000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VIII) </w:t>
            </w:r>
            <w:proofErr w:type="spellStart"/>
            <w:r>
              <w:rPr>
                <w:rFonts w:ascii="Arial" w:hAnsi="Arial" w:cs="Arial"/>
                <w:color w:val="000000"/>
                <w:sz w:val="20"/>
                <w:szCs w:val="20"/>
              </w:rPr>
              <w:t>Result.Financ</w:t>
            </w:r>
            <w:proofErr w:type="spellEnd"/>
            <w:r>
              <w:rPr>
                <w:rFonts w:ascii="Arial" w:hAnsi="Arial" w:cs="Arial"/>
                <w:color w:val="000000"/>
                <w:sz w:val="20"/>
                <w:szCs w:val="20"/>
              </w:rPr>
              <w:t xml:space="preserve">. </w:t>
            </w:r>
            <w:proofErr w:type="gramStart"/>
            <w:r>
              <w:rPr>
                <w:rFonts w:ascii="Arial" w:hAnsi="Arial" w:cs="Arial"/>
                <w:color w:val="000000"/>
                <w:sz w:val="20"/>
                <w:szCs w:val="20"/>
              </w:rPr>
              <w:t>antes</w:t>
            </w:r>
            <w:proofErr w:type="gramEnd"/>
            <w:r>
              <w:rPr>
                <w:rFonts w:ascii="Arial" w:hAnsi="Arial" w:cs="Arial"/>
                <w:color w:val="000000"/>
                <w:sz w:val="20"/>
                <w:szCs w:val="20"/>
              </w:rPr>
              <w:t xml:space="preserve"> </w:t>
            </w:r>
            <w:proofErr w:type="spellStart"/>
            <w:r>
              <w:rPr>
                <w:rFonts w:ascii="Arial" w:hAnsi="Arial" w:cs="Arial"/>
                <w:color w:val="000000"/>
                <w:sz w:val="20"/>
                <w:szCs w:val="20"/>
              </w:rPr>
              <w:t>Contrib</w:t>
            </w:r>
            <w:proofErr w:type="spellEnd"/>
            <w:r>
              <w:rPr>
                <w:rFonts w:ascii="Arial" w:hAnsi="Arial" w:cs="Arial"/>
                <w:color w:val="000000"/>
                <w:sz w:val="20"/>
                <w:szCs w:val="20"/>
              </w:rPr>
              <w:t>. (VI - VII)</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580.435.080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IX) Contribuciones figurativas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 Gastos figurativos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53.333.000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 Resultado Financiero (VIII + IX - X)</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527.102.080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XII) Fuentes Financieras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XIII) Aplicaciones Financieras</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527.102.080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221" w:right="51"/>
              <w:rPr>
                <w:rFonts w:ascii="Arial" w:hAnsi="Arial" w:cs="Arial"/>
                <w:color w:val="000000"/>
                <w:sz w:val="20"/>
                <w:szCs w:val="20"/>
              </w:rPr>
            </w:pPr>
            <w:r>
              <w:rPr>
                <w:rFonts w:ascii="Arial" w:hAnsi="Arial" w:cs="Arial"/>
                <w:color w:val="000000"/>
                <w:sz w:val="20"/>
                <w:szCs w:val="20"/>
              </w:rPr>
              <w:t xml:space="preserve">   Inversión Financiera</w:t>
            </w: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527.102.080 </w:t>
            </w:r>
          </w:p>
        </w:tc>
      </w:tr>
      <w:tr w:rsidR="00B16389">
        <w:tblPrEx>
          <w:tblCellMar>
            <w:top w:w="0" w:type="dxa"/>
            <w:left w:w="0" w:type="dxa"/>
            <w:bottom w:w="0" w:type="dxa"/>
            <w:right w:w="0" w:type="dxa"/>
          </w:tblCellMar>
        </w:tblPrEx>
        <w:tc>
          <w:tcPr>
            <w:tcW w:w="6550" w:type="dxa"/>
            <w:tcBorders>
              <w:top w:val="nil"/>
              <w:left w:val="single" w:sz="4" w:space="0" w:color="000000"/>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nil"/>
              <w:right w:val="single" w:sz="4"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550" w:type="dxa"/>
            <w:tcBorders>
              <w:top w:val="nil"/>
              <w:left w:val="single" w:sz="4" w:space="0" w:color="000000"/>
              <w:bottom w:val="single" w:sz="4" w:space="0" w:color="000000"/>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340" w:type="dxa"/>
            <w:tcBorders>
              <w:top w:val="nil"/>
              <w:left w:val="nil"/>
              <w:bottom w:val="single" w:sz="4" w:space="0" w:color="000000"/>
              <w:right w:val="single" w:sz="4"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bl>
    <w:p w:rsidR="00B16389" w:rsidRDefault="00B16389">
      <w:pPr>
        <w:widowControl w:val="0"/>
        <w:autoSpaceDE w:val="0"/>
        <w:autoSpaceDN w:val="0"/>
        <w:adjustRightInd w:val="0"/>
        <w:spacing w:after="0" w:line="240" w:lineRule="auto"/>
        <w:ind w:left="121" w:right="107"/>
        <w:rPr>
          <w:rFonts w:ascii="Ottawa" w:hAnsi="Ottawa" w:cs="Ottawa"/>
          <w:color w:val="000000"/>
          <w:sz w:val="16"/>
          <w:szCs w:val="16"/>
        </w:rPr>
      </w:pPr>
    </w:p>
    <w:p w:rsidR="00B16389" w:rsidRDefault="00B16389">
      <w:pPr>
        <w:widowControl w:val="0"/>
        <w:autoSpaceDE w:val="0"/>
        <w:autoSpaceDN w:val="0"/>
        <w:adjustRightInd w:val="0"/>
        <w:spacing w:after="0" w:line="240" w:lineRule="auto"/>
        <w:ind w:left="121" w:right="107"/>
        <w:rPr>
          <w:rFonts w:ascii="Ottawa" w:hAnsi="Ottawa" w:cs="Ottawa"/>
          <w:color w:val="000000"/>
          <w:sz w:val="16"/>
          <w:szCs w:val="16"/>
        </w:rPr>
      </w:pPr>
      <w:r>
        <w:rPr>
          <w:rFonts w:ascii="Arial" w:hAnsi="Arial" w:cs="Arial"/>
          <w:sz w:val="24"/>
          <w:szCs w:val="24"/>
        </w:rPr>
        <w:br w:type="page"/>
      </w:r>
    </w:p>
    <w:p w:rsidR="00B16389" w:rsidRDefault="00B16389">
      <w:pPr>
        <w:widowControl w:val="0"/>
        <w:autoSpaceDE w:val="0"/>
        <w:autoSpaceDN w:val="0"/>
        <w:adjustRightInd w:val="0"/>
        <w:spacing w:after="0" w:line="240" w:lineRule="auto"/>
        <w:ind w:left="121" w:right="107"/>
        <w:jc w:val="center"/>
        <w:rPr>
          <w:rFonts w:ascii="Ottawa" w:hAnsi="Ottawa" w:cs="Ottawa"/>
          <w:color w:val="000000"/>
          <w:sz w:val="16"/>
          <w:szCs w:val="16"/>
        </w:rPr>
      </w:pPr>
      <w:r>
        <w:rPr>
          <w:rFonts w:ascii="Ottawa" w:hAnsi="Ottawa" w:cs="Ottawa"/>
          <w:color w:val="000000"/>
          <w:sz w:val="16"/>
          <w:szCs w:val="16"/>
        </w:rPr>
        <w:t xml:space="preserve"> </w:t>
      </w:r>
    </w:p>
    <w:p w:rsidR="00B16389" w:rsidRDefault="00B16389">
      <w:pPr>
        <w:widowControl w:val="0"/>
        <w:autoSpaceDE w:val="0"/>
        <w:autoSpaceDN w:val="0"/>
        <w:adjustRightInd w:val="0"/>
        <w:spacing w:after="0" w:line="240" w:lineRule="auto"/>
        <w:ind w:left="121" w:right="107"/>
        <w:jc w:val="center"/>
        <w:rPr>
          <w:rFonts w:ascii="Ottawa" w:hAnsi="Ottawa" w:cs="Ottawa"/>
          <w:b/>
          <w:bCs/>
          <w:color w:val="000000"/>
          <w:sz w:val="24"/>
          <w:szCs w:val="24"/>
        </w:rPr>
      </w:pPr>
      <w:r>
        <w:rPr>
          <w:rFonts w:ascii="Ottawa" w:hAnsi="Ottawa" w:cs="Ottawa"/>
          <w:i/>
          <w:iCs/>
          <w:color w:val="000000"/>
          <w:sz w:val="32"/>
          <w:szCs w:val="32"/>
        </w:rPr>
        <w:t xml:space="preserve"> </w:t>
      </w:r>
      <w:r>
        <w:rPr>
          <w:rFonts w:ascii="Ottawa" w:hAnsi="Ottawa" w:cs="Ottawa"/>
          <w:b/>
          <w:bCs/>
          <w:color w:val="000000"/>
          <w:sz w:val="24"/>
          <w:szCs w:val="24"/>
        </w:rPr>
        <w:t>COMPOSICION DE LOS RECURSOS POR RUBROS</w:t>
      </w:r>
    </w:p>
    <w:p w:rsidR="00B16389" w:rsidRDefault="00B16389">
      <w:pPr>
        <w:widowControl w:val="0"/>
        <w:autoSpaceDE w:val="0"/>
        <w:autoSpaceDN w:val="0"/>
        <w:adjustRightInd w:val="0"/>
        <w:spacing w:after="0" w:line="240" w:lineRule="auto"/>
        <w:ind w:left="481" w:right="107"/>
        <w:jc w:val="center"/>
        <w:rPr>
          <w:rFonts w:ascii="Ottawa" w:hAnsi="Ottawa" w:cs="Ottawa"/>
          <w:color w:val="000000"/>
          <w:sz w:val="24"/>
          <w:szCs w:val="24"/>
        </w:rPr>
      </w:pPr>
    </w:p>
    <w:tbl>
      <w:tblPr>
        <w:tblW w:w="0" w:type="auto"/>
        <w:tblInd w:w="496" w:type="dxa"/>
        <w:tblLayout w:type="fixed"/>
        <w:tblCellMar>
          <w:left w:w="0" w:type="dxa"/>
          <w:right w:w="0" w:type="dxa"/>
        </w:tblCellMar>
        <w:tblLook w:val="0000" w:firstRow="0" w:lastRow="0" w:firstColumn="0" w:lastColumn="0" w:noHBand="0" w:noVBand="0"/>
      </w:tblPr>
      <w:tblGrid>
        <w:gridCol w:w="6367"/>
        <w:gridCol w:w="2193"/>
      </w:tblGrid>
      <w:tr w:rsidR="00B16389">
        <w:tblPrEx>
          <w:tblCellMar>
            <w:top w:w="0" w:type="dxa"/>
            <w:left w:w="0" w:type="dxa"/>
            <w:bottom w:w="0" w:type="dxa"/>
            <w:right w:w="0" w:type="dxa"/>
          </w:tblCellMar>
        </w:tblPrEx>
        <w:trPr>
          <w:tblHeader/>
        </w:trPr>
        <w:tc>
          <w:tcPr>
            <w:tcW w:w="6367"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RUBRO</w:t>
            </w:r>
          </w:p>
        </w:tc>
        <w:tc>
          <w:tcPr>
            <w:tcW w:w="2193"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ESTIMADO</w:t>
            </w:r>
          </w:p>
        </w:tc>
      </w:tr>
      <w:tr w:rsidR="00B16389">
        <w:tblPrEx>
          <w:tblCellMar>
            <w:top w:w="0" w:type="dxa"/>
            <w:left w:w="0" w:type="dxa"/>
            <w:bottom w:w="0" w:type="dxa"/>
            <w:right w:w="0" w:type="dxa"/>
          </w:tblCellMar>
        </w:tblPrEx>
        <w:tc>
          <w:tcPr>
            <w:tcW w:w="6367"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998.930.080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b/>
                <w:bCs/>
                <w:color w:val="000000"/>
                <w:sz w:val="20"/>
                <w:szCs w:val="20"/>
              </w:rPr>
              <w:t>Ingresos No Tributarios</w:t>
            </w:r>
            <w:r>
              <w:rPr>
                <w:rFonts w:ascii="Arial" w:hAnsi="Arial" w:cs="Arial"/>
                <w:color w:val="000000"/>
                <w:sz w:val="20"/>
                <w:szCs w:val="20"/>
              </w:rPr>
              <w:t xml:space="preserve">                                                                   </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998.930.080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Tasas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990.280.000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278" w:right="51"/>
              <w:rPr>
                <w:rFonts w:ascii="Arial" w:hAnsi="Arial" w:cs="Arial"/>
                <w:color w:val="000000"/>
                <w:sz w:val="20"/>
                <w:szCs w:val="20"/>
              </w:rPr>
            </w:pPr>
            <w:r>
              <w:rPr>
                <w:rFonts w:ascii="Arial" w:hAnsi="Arial" w:cs="Arial"/>
                <w:color w:val="000000"/>
                <w:sz w:val="20"/>
                <w:szCs w:val="20"/>
              </w:rPr>
              <w:t>Otras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990.280.000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Derechos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7.000.080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278" w:right="51"/>
              <w:rPr>
                <w:rFonts w:ascii="Arial" w:hAnsi="Arial" w:cs="Arial"/>
                <w:color w:val="000000"/>
                <w:sz w:val="20"/>
                <w:szCs w:val="20"/>
              </w:rPr>
            </w:pPr>
            <w:r>
              <w:rPr>
                <w:rFonts w:ascii="Arial" w:hAnsi="Arial" w:cs="Arial"/>
                <w:color w:val="000000"/>
                <w:sz w:val="20"/>
                <w:szCs w:val="20"/>
              </w:rPr>
              <w:t>De Inscripción</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7.000.080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Multas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850.000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278" w:right="51"/>
              <w:rPr>
                <w:rFonts w:ascii="Arial" w:hAnsi="Arial" w:cs="Arial"/>
                <w:color w:val="000000"/>
                <w:sz w:val="20"/>
                <w:szCs w:val="20"/>
              </w:rPr>
            </w:pPr>
            <w:r>
              <w:rPr>
                <w:rFonts w:ascii="Arial" w:hAnsi="Arial" w:cs="Arial"/>
                <w:color w:val="000000"/>
                <w:sz w:val="20"/>
                <w:szCs w:val="20"/>
              </w:rPr>
              <w:t>Multas por Infracciones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850.000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65" w:right="51"/>
              <w:rPr>
                <w:rFonts w:ascii="Arial" w:hAnsi="Arial" w:cs="Arial"/>
                <w:color w:val="000000"/>
                <w:sz w:val="20"/>
                <w:szCs w:val="20"/>
              </w:rPr>
            </w:pPr>
            <w:r>
              <w:rPr>
                <w:rFonts w:ascii="Arial" w:hAnsi="Arial" w:cs="Arial"/>
                <w:color w:val="000000"/>
                <w:sz w:val="20"/>
                <w:szCs w:val="20"/>
              </w:rPr>
              <w:t>Otros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800.000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278" w:right="51"/>
              <w:rPr>
                <w:rFonts w:ascii="Arial" w:hAnsi="Arial" w:cs="Arial"/>
                <w:color w:val="000000"/>
                <w:sz w:val="20"/>
                <w:szCs w:val="20"/>
              </w:rPr>
            </w:pPr>
            <w:r>
              <w:rPr>
                <w:rFonts w:ascii="Arial" w:hAnsi="Arial" w:cs="Arial"/>
                <w:color w:val="000000"/>
                <w:sz w:val="20"/>
                <w:szCs w:val="20"/>
              </w:rPr>
              <w:t>No Especificados</w:t>
            </w: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800.000</w:t>
            </w:r>
          </w:p>
        </w:tc>
      </w:tr>
      <w:tr w:rsidR="00B16389">
        <w:tblPrEx>
          <w:tblCellMar>
            <w:top w:w="0" w:type="dxa"/>
            <w:left w:w="0" w:type="dxa"/>
            <w:bottom w:w="0" w:type="dxa"/>
            <w:right w:w="0" w:type="dxa"/>
          </w:tblCellMar>
        </w:tblPrEx>
        <w:tc>
          <w:tcPr>
            <w:tcW w:w="6367"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367"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c>
          <w:tcPr>
            <w:tcW w:w="2193"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sz w:val="24"/>
                <w:szCs w:val="24"/>
              </w:rPr>
            </w:pPr>
          </w:p>
        </w:tc>
      </w:tr>
    </w:tbl>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24"/>
          <w:szCs w:val="24"/>
        </w:rPr>
      </w:pPr>
    </w:p>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p>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Arial" w:hAnsi="Arial" w:cs="Arial"/>
          <w:sz w:val="24"/>
          <w:szCs w:val="24"/>
        </w:rPr>
        <w:br w:type="page"/>
      </w:r>
      <w:r>
        <w:rPr>
          <w:rFonts w:ascii="Ottawa" w:hAnsi="Ottawa" w:cs="Ottawa"/>
          <w:color w:val="000000"/>
          <w:sz w:val="16"/>
          <w:szCs w:val="16"/>
          <w:highlight w:val="white"/>
        </w:rPr>
        <w:lastRenderedPageBreak/>
        <w:t xml:space="preserve"> </w:t>
      </w:r>
    </w:p>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916"/>
        <w:gridCol w:w="2252"/>
        <w:gridCol w:w="2160"/>
        <w:gridCol w:w="1620"/>
        <w:gridCol w:w="1080"/>
        <w:gridCol w:w="1057"/>
      </w:tblGrid>
      <w:tr w:rsidR="00B16389">
        <w:tblPrEx>
          <w:tblCellMar>
            <w:top w:w="0" w:type="dxa"/>
            <w:left w:w="0" w:type="dxa"/>
            <w:bottom w:w="0" w:type="dxa"/>
            <w:right w:w="0" w:type="dxa"/>
          </w:tblCellMar>
        </w:tblPrEx>
        <w:trPr>
          <w:cantSplit/>
          <w:tblHeader/>
        </w:trPr>
        <w:tc>
          <w:tcPr>
            <w:tcW w:w="9085" w:type="dxa"/>
            <w:gridSpan w:val="6"/>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 w:right="51"/>
              <w:jc w:val="center"/>
              <w:rPr>
                <w:rFonts w:ascii="Ottawa" w:hAnsi="Ottawa" w:cs="Ottawa"/>
                <w:b/>
                <w:bCs/>
                <w:color w:val="000000"/>
              </w:rPr>
            </w:pPr>
            <w:r>
              <w:rPr>
                <w:rFonts w:ascii="Ottawa" w:hAnsi="Ottawa" w:cs="Ottawa"/>
                <w:b/>
                <w:bCs/>
                <w:color w:val="000000"/>
              </w:rPr>
              <w:t>LISTADO DE PROGRAMAS Y CATEGORIAS EQUIVALENTES</w:t>
            </w:r>
          </w:p>
        </w:tc>
      </w:tr>
      <w:tr w:rsidR="00B16389">
        <w:tblPrEx>
          <w:tblCellMar>
            <w:top w:w="0" w:type="dxa"/>
            <w:left w:w="0" w:type="dxa"/>
            <w:bottom w:w="0" w:type="dxa"/>
            <w:right w:w="0" w:type="dxa"/>
          </w:tblCellMar>
        </w:tblPrEx>
        <w:trPr>
          <w:cantSplit/>
          <w:tblHeader/>
        </w:trPr>
        <w:tc>
          <w:tcPr>
            <w:tcW w:w="9085" w:type="dxa"/>
            <w:gridSpan w:val="6"/>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 w:right="51"/>
              <w:jc w:val="center"/>
              <w:rPr>
                <w:rFonts w:ascii="Arial" w:hAnsi="Arial" w:cs="Arial"/>
                <w:color w:val="FFFFFF"/>
                <w:sz w:val="20"/>
                <w:szCs w:val="20"/>
              </w:rPr>
            </w:pPr>
            <w:r>
              <w:rPr>
                <w:rFonts w:ascii="Arial" w:hAnsi="Arial" w:cs="Arial"/>
                <w:color w:val="FFFFFF"/>
                <w:sz w:val="20"/>
                <w:szCs w:val="20"/>
              </w:rPr>
              <w:t>A</w:t>
            </w:r>
          </w:p>
        </w:tc>
      </w:tr>
      <w:tr w:rsidR="00B16389">
        <w:tblPrEx>
          <w:tblCellMar>
            <w:top w:w="0" w:type="dxa"/>
            <w:left w:w="0" w:type="dxa"/>
            <w:bottom w:w="0" w:type="dxa"/>
            <w:right w:w="0" w:type="dxa"/>
          </w:tblCellMar>
        </w:tblPrEx>
        <w:trPr>
          <w:cantSplit/>
          <w:tblHeader/>
        </w:trPr>
        <w:tc>
          <w:tcPr>
            <w:tcW w:w="916" w:type="dxa"/>
            <w:tcBorders>
              <w:top w:val="nil"/>
              <w:left w:val="nil"/>
              <w:bottom w:val="nil"/>
              <w:right w:val="nil"/>
            </w:tcBorders>
            <w:shd w:val="clear" w:color="auto" w:fill="FFFFFF"/>
          </w:tcPr>
          <w:p w:rsidR="00B16389" w:rsidRDefault="00B16389">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CODIGO</w:t>
            </w:r>
          </w:p>
        </w:tc>
        <w:tc>
          <w:tcPr>
            <w:tcW w:w="2252" w:type="dxa"/>
            <w:tcBorders>
              <w:top w:val="nil"/>
              <w:left w:val="nil"/>
              <w:bottom w:val="nil"/>
              <w:right w:val="nil"/>
            </w:tcBorders>
            <w:shd w:val="clear" w:color="auto" w:fill="FFFFFF"/>
          </w:tcPr>
          <w:p w:rsidR="00B16389" w:rsidRDefault="00B16389">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DENOMINACION</w:t>
            </w:r>
          </w:p>
        </w:tc>
        <w:tc>
          <w:tcPr>
            <w:tcW w:w="2160" w:type="dxa"/>
            <w:tcBorders>
              <w:top w:val="nil"/>
              <w:left w:val="nil"/>
              <w:bottom w:val="nil"/>
              <w:right w:val="nil"/>
            </w:tcBorders>
            <w:shd w:val="clear" w:color="auto" w:fill="FFFFFF"/>
          </w:tcPr>
          <w:p w:rsidR="00B16389" w:rsidRDefault="00B16389">
            <w:pPr>
              <w:keepLines/>
              <w:widowControl w:val="0"/>
              <w:shd w:val="clear" w:color="auto" w:fill="FFFFFF"/>
              <w:autoSpaceDE w:val="0"/>
              <w:autoSpaceDN w:val="0"/>
              <w:adjustRightInd w:val="0"/>
              <w:spacing w:after="0" w:line="240" w:lineRule="auto"/>
              <w:ind w:left="-5" w:right="51"/>
              <w:rPr>
                <w:rFonts w:ascii="Arial" w:hAnsi="Arial" w:cs="Arial"/>
                <w:color w:val="000000"/>
                <w:sz w:val="18"/>
                <w:szCs w:val="18"/>
              </w:rPr>
            </w:pPr>
            <w:r>
              <w:rPr>
                <w:rFonts w:ascii="Arial" w:hAnsi="Arial" w:cs="Arial"/>
                <w:color w:val="000000"/>
                <w:sz w:val="18"/>
                <w:szCs w:val="18"/>
              </w:rPr>
              <w:t>UNIDAD EJECUTORA</w:t>
            </w:r>
          </w:p>
        </w:tc>
        <w:tc>
          <w:tcPr>
            <w:tcW w:w="1620" w:type="dxa"/>
            <w:tcBorders>
              <w:top w:val="nil"/>
              <w:left w:val="nil"/>
              <w:bottom w:val="nil"/>
              <w:right w:val="nil"/>
            </w:tcBorders>
            <w:shd w:val="clear" w:color="auto" w:fill="FFFFFF"/>
          </w:tcPr>
          <w:p w:rsidR="00B16389" w:rsidRDefault="00B16389">
            <w:pPr>
              <w:keepLines/>
              <w:widowControl w:val="0"/>
              <w:shd w:val="clear" w:color="auto" w:fill="FFFFFF"/>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CREDITO</w:t>
            </w:r>
          </w:p>
        </w:tc>
        <w:tc>
          <w:tcPr>
            <w:tcW w:w="2137" w:type="dxa"/>
            <w:gridSpan w:val="2"/>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 w:right="51"/>
              <w:jc w:val="center"/>
              <w:rPr>
                <w:rFonts w:ascii="Arial" w:hAnsi="Arial" w:cs="Arial"/>
                <w:color w:val="000000"/>
                <w:sz w:val="18"/>
                <w:szCs w:val="18"/>
              </w:rPr>
            </w:pPr>
            <w:r>
              <w:rPr>
                <w:rFonts w:ascii="Arial" w:hAnsi="Arial" w:cs="Arial"/>
                <w:color w:val="000000"/>
                <w:sz w:val="18"/>
                <w:szCs w:val="18"/>
              </w:rPr>
              <w:t>RECURSOS HUMANOS</w:t>
            </w:r>
          </w:p>
        </w:tc>
      </w:tr>
      <w:tr w:rsidR="00B16389">
        <w:tblPrEx>
          <w:tblCellMar>
            <w:top w:w="0" w:type="dxa"/>
            <w:left w:w="0" w:type="dxa"/>
            <w:bottom w:w="0" w:type="dxa"/>
            <w:right w:w="0" w:type="dxa"/>
          </w:tblCellMar>
        </w:tblPrEx>
        <w:trPr>
          <w:cantSplit/>
          <w:tblHeader/>
        </w:trPr>
        <w:tc>
          <w:tcPr>
            <w:tcW w:w="916"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CARGOS</w:t>
            </w:r>
          </w:p>
        </w:tc>
        <w:tc>
          <w:tcPr>
            <w:tcW w:w="10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HS. DE CATEDRA</w:t>
            </w: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16</w:t>
            </w:r>
          </w:p>
        </w:tc>
        <w:tc>
          <w:tcPr>
            <w:tcW w:w="2252"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Control y Fiscalización de la Actividad Aseguradora y Reaseguradora</w:t>
            </w:r>
          </w:p>
        </w:tc>
        <w:tc>
          <w:tcPr>
            <w:tcW w:w="2160"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Superintendencia de Seguros de la Nación </w:t>
            </w:r>
          </w:p>
        </w:tc>
        <w:tc>
          <w:tcPr>
            <w:tcW w:w="1620"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418.495.000 </w:t>
            </w: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375</w:t>
            </w: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0</w:t>
            </w: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center"/>
              <w:rPr>
                <w:rFonts w:ascii="Arial" w:hAnsi="Arial" w:cs="Arial"/>
                <w:color w:val="000000"/>
                <w:sz w:val="18"/>
                <w:szCs w:val="18"/>
              </w:rPr>
            </w:pPr>
            <w:r>
              <w:rPr>
                <w:rFonts w:ascii="Arial" w:hAnsi="Arial" w:cs="Arial"/>
                <w:color w:val="000000"/>
                <w:sz w:val="18"/>
                <w:szCs w:val="18"/>
              </w:rPr>
              <w:t>99</w:t>
            </w:r>
          </w:p>
        </w:tc>
        <w:tc>
          <w:tcPr>
            <w:tcW w:w="2252"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Erogaciones Figurativas</w:t>
            </w:r>
          </w:p>
        </w:tc>
        <w:tc>
          <w:tcPr>
            <w:tcW w:w="2160"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000000"/>
                <w:sz w:val="18"/>
                <w:szCs w:val="18"/>
              </w:rPr>
            </w:pPr>
            <w:r>
              <w:rPr>
                <w:rFonts w:ascii="Arial" w:hAnsi="Arial" w:cs="Arial"/>
                <w:color w:val="000000"/>
                <w:sz w:val="18"/>
                <w:szCs w:val="18"/>
              </w:rPr>
              <w:t xml:space="preserve">Superintendencia de Seguros de la Nación </w:t>
            </w:r>
          </w:p>
        </w:tc>
        <w:tc>
          <w:tcPr>
            <w:tcW w:w="1620"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 xml:space="preserve">53.333.000 </w:t>
            </w: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0</w:t>
            </w: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18"/>
                <w:szCs w:val="18"/>
              </w:rPr>
            </w:pPr>
            <w:r>
              <w:rPr>
                <w:rFonts w:ascii="Arial" w:hAnsi="Arial" w:cs="Arial"/>
                <w:color w:val="000000"/>
                <w:sz w:val="18"/>
                <w:szCs w:val="18"/>
              </w:rPr>
              <w:t>0</w:t>
            </w: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252"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color w:val="FFFFFF"/>
                <w:sz w:val="10"/>
                <w:szCs w:val="10"/>
              </w:rPr>
            </w:pPr>
            <w:r>
              <w:rPr>
                <w:rFonts w:ascii="Arial" w:hAnsi="Arial" w:cs="Arial"/>
                <w:color w:val="FFFFFF"/>
                <w:sz w:val="10"/>
                <w:szCs w:val="10"/>
              </w:rPr>
              <w:t>A</w:t>
            </w:r>
          </w:p>
        </w:tc>
        <w:tc>
          <w:tcPr>
            <w:tcW w:w="216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916"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rPr>
                <w:rFonts w:ascii="Arial" w:hAnsi="Arial" w:cs="Arial"/>
                <w:b/>
                <w:bCs/>
                <w:color w:val="000000"/>
                <w:sz w:val="18"/>
                <w:szCs w:val="18"/>
              </w:rPr>
            </w:pPr>
            <w:r>
              <w:rPr>
                <w:rFonts w:ascii="Arial" w:hAnsi="Arial" w:cs="Arial"/>
                <w:b/>
                <w:bCs/>
                <w:color w:val="000000"/>
                <w:sz w:val="18"/>
                <w:szCs w:val="18"/>
              </w:rPr>
              <w:t>TOTAL</w:t>
            </w:r>
          </w:p>
        </w:tc>
        <w:tc>
          <w:tcPr>
            <w:tcW w:w="2252"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6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1620" w:type="dxa"/>
            <w:tcBorders>
              <w:top w:val="nil"/>
              <w:left w:val="nil"/>
              <w:bottom w:val="nil"/>
              <w:right w:val="nil"/>
            </w:tcBorders>
            <w:shd w:val="clear" w:color="auto" w:fill="FFFFFF"/>
          </w:tcPr>
          <w:p w:rsidR="00B16389" w:rsidRDefault="00B16389">
            <w:pPr>
              <w:widowControl w:val="0"/>
              <w:shd w:val="clear" w:color="auto" w:fill="FFFFFF"/>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471.828.000</w:t>
            </w:r>
          </w:p>
        </w:tc>
        <w:tc>
          <w:tcPr>
            <w:tcW w:w="10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375</w:t>
            </w:r>
          </w:p>
        </w:tc>
        <w:tc>
          <w:tcPr>
            <w:tcW w:w="10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18"/>
                <w:szCs w:val="18"/>
              </w:rPr>
            </w:pPr>
            <w:r>
              <w:rPr>
                <w:rFonts w:ascii="Arial" w:hAnsi="Arial" w:cs="Arial"/>
                <w:b/>
                <w:bCs/>
                <w:color w:val="000000"/>
                <w:sz w:val="18"/>
                <w:szCs w:val="18"/>
              </w:rPr>
              <w:t>0</w:t>
            </w:r>
          </w:p>
        </w:tc>
      </w:tr>
    </w:tbl>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6"/>
          <w:szCs w:val="16"/>
          <w:highlight w:val="white"/>
        </w:rPr>
      </w:pPr>
      <w:r>
        <w:rPr>
          <w:rFonts w:ascii="Ottawa" w:hAnsi="Ottawa" w:cs="Ottawa"/>
          <w:color w:val="000000"/>
          <w:sz w:val="16"/>
          <w:szCs w:val="16"/>
          <w:highlight w:val="white"/>
        </w:rPr>
        <w:t xml:space="preserve"> </w:t>
      </w:r>
    </w:p>
    <w:p w:rsidR="00B16389" w:rsidRDefault="00B16389">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p>
    <w:p w:rsidR="00B16389" w:rsidRDefault="00B16389">
      <w:pPr>
        <w:widowControl w:val="0"/>
        <w:shd w:val="clear" w:color="auto" w:fill="FFFFFF"/>
        <w:autoSpaceDE w:val="0"/>
        <w:autoSpaceDN w:val="0"/>
        <w:adjustRightInd w:val="0"/>
        <w:spacing w:after="0" w:line="240" w:lineRule="auto"/>
        <w:ind w:left="121" w:right="50"/>
        <w:jc w:val="right"/>
        <w:rPr>
          <w:rFonts w:ascii="Arial" w:hAnsi="Arial" w:cs="Arial"/>
          <w:sz w:val="24"/>
          <w:szCs w:val="24"/>
        </w:rPr>
      </w:pPr>
      <w:r>
        <w:rPr>
          <w:rFonts w:ascii="Arial" w:hAnsi="Arial" w:cs="Arial"/>
          <w:sz w:val="24"/>
          <w:szCs w:val="24"/>
        </w:rPr>
        <w:br w:type="page"/>
      </w:r>
    </w:p>
    <w:p w:rsidR="00B16389" w:rsidRDefault="00B16389">
      <w:pPr>
        <w:widowControl w:val="0"/>
        <w:shd w:val="clear" w:color="auto" w:fill="FFFFFF"/>
        <w:autoSpaceDE w:val="0"/>
        <w:autoSpaceDN w:val="0"/>
        <w:adjustRightInd w:val="0"/>
        <w:spacing w:after="0" w:line="240" w:lineRule="auto"/>
        <w:ind w:left="121" w:right="50"/>
        <w:jc w:val="right"/>
        <w:rPr>
          <w:rFonts w:ascii="Arial" w:hAnsi="Arial" w:cs="Arial"/>
          <w:color w:val="000000"/>
          <w:sz w:val="14"/>
          <w:szCs w:val="14"/>
          <w:highlight w:val="white"/>
        </w:rPr>
      </w:pPr>
      <w:r>
        <w:rPr>
          <w:rFonts w:ascii="Arial" w:hAnsi="Arial" w:cs="Arial"/>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PROGRAMA 16</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CONTROL Y FISCALIZACIÓN DE LA ACTIVIDAD ASEGURADORA Y REASEGURADORA</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SUPERINTENDENCIA DE SEGUROS DE LA NACIÓN</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28"/>
          <w:szCs w:val="28"/>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_________________________________________________</w:t>
      </w:r>
    </w:p>
    <w:p w:rsidR="00B16389" w:rsidRDefault="00B16389">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16389" w:rsidRDefault="00B16389">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DESCRIPCION DEL PROGRAMA</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9E53D8" w:rsidRPr="009E53D8" w:rsidRDefault="009E53D8" w:rsidP="009E53D8">
      <w:pPr>
        <w:autoSpaceDE w:val="0"/>
        <w:autoSpaceDN w:val="0"/>
        <w:spacing w:after="0" w:line="288" w:lineRule="auto"/>
        <w:ind w:firstLine="1134"/>
        <w:jc w:val="both"/>
        <w:rPr>
          <w:rFonts w:ascii="Switzerland" w:hAnsi="Switzerland" w:cs="Switzerland"/>
          <w:sz w:val="20"/>
          <w:szCs w:val="20"/>
          <w:lang w:val="es-ES_tradnl"/>
        </w:rPr>
      </w:pPr>
      <w:r w:rsidRPr="009E53D8">
        <w:rPr>
          <w:rFonts w:ascii="Switzerland" w:hAnsi="Switzerland" w:cs="Switzerland"/>
          <w:sz w:val="20"/>
          <w:szCs w:val="20"/>
          <w:lang w:val="es-ES_tradnl" w:eastAsia="es-ES"/>
        </w:rPr>
        <w:t>El programa se encarga de realizar las actividades de control, inspección y relevamiento del mercado, supervisión, recaudación de tasas, aplicación de multas y recopilación de información, previstas para el Organismo en las disposiciones legales.</w:t>
      </w:r>
    </w:p>
    <w:p w:rsidR="009E53D8" w:rsidRPr="009E53D8" w:rsidRDefault="009E53D8" w:rsidP="009E53D8">
      <w:pPr>
        <w:autoSpaceDE w:val="0"/>
        <w:autoSpaceDN w:val="0"/>
        <w:spacing w:after="0" w:line="288" w:lineRule="auto"/>
        <w:ind w:firstLine="1134"/>
        <w:jc w:val="both"/>
        <w:rPr>
          <w:rFonts w:ascii="Switzerland" w:hAnsi="Switzerland" w:cs="Switzerland"/>
          <w:sz w:val="20"/>
          <w:szCs w:val="20"/>
          <w:lang w:val="es-ES_tradnl" w:eastAsia="es-ES"/>
        </w:rPr>
      </w:pPr>
    </w:p>
    <w:p w:rsidR="009E53D8" w:rsidRPr="009E53D8" w:rsidRDefault="009E53D8" w:rsidP="009E53D8">
      <w:pPr>
        <w:autoSpaceDE w:val="0"/>
        <w:autoSpaceDN w:val="0"/>
        <w:spacing w:after="0" w:line="288" w:lineRule="auto"/>
        <w:ind w:firstLine="1134"/>
        <w:jc w:val="both"/>
        <w:rPr>
          <w:rFonts w:ascii="Switzerland" w:hAnsi="Switzerland" w:cs="Switzerland"/>
          <w:sz w:val="20"/>
          <w:szCs w:val="20"/>
          <w:lang w:val="es-ES_tradnl" w:eastAsia="es-ES"/>
        </w:rPr>
      </w:pPr>
      <w:r w:rsidRPr="009E53D8">
        <w:rPr>
          <w:rFonts w:ascii="Switzerland" w:hAnsi="Switzerland" w:cs="Switzerland"/>
          <w:sz w:val="20"/>
          <w:szCs w:val="20"/>
          <w:lang w:val="es-ES_tradnl" w:eastAsia="es-ES"/>
        </w:rPr>
        <w:t>Asimismo, es su labor colaborar en la definición de políticas para el mercado asegurador en el marco del Consejo Consultivo del Seguro, de acuerdo a lo dispuesto en las normas vigentes.</w:t>
      </w:r>
    </w:p>
    <w:p w:rsidR="009E53D8" w:rsidRPr="009E53D8" w:rsidRDefault="009E53D8" w:rsidP="009E53D8">
      <w:pPr>
        <w:autoSpaceDE w:val="0"/>
        <w:autoSpaceDN w:val="0"/>
        <w:spacing w:after="0" w:line="288" w:lineRule="auto"/>
        <w:ind w:firstLine="1134"/>
        <w:jc w:val="both"/>
        <w:rPr>
          <w:rFonts w:ascii="Switzerland" w:hAnsi="Switzerland" w:cs="Switzerland"/>
          <w:sz w:val="20"/>
          <w:szCs w:val="20"/>
          <w:lang w:val="es-ES_tradnl" w:eastAsia="es-ES"/>
        </w:rPr>
      </w:pPr>
    </w:p>
    <w:p w:rsidR="009E53D8" w:rsidRPr="009E53D8" w:rsidRDefault="009E53D8" w:rsidP="009E53D8">
      <w:pPr>
        <w:autoSpaceDE w:val="0"/>
        <w:autoSpaceDN w:val="0"/>
        <w:spacing w:after="0" w:line="288" w:lineRule="auto"/>
        <w:ind w:firstLine="1134"/>
        <w:jc w:val="both"/>
        <w:rPr>
          <w:rFonts w:ascii="Switzerland" w:hAnsi="Switzerland" w:cs="Switzerland"/>
          <w:sz w:val="20"/>
          <w:szCs w:val="20"/>
          <w:lang w:val="es-ES_tradnl" w:eastAsia="es-ES"/>
        </w:rPr>
      </w:pPr>
      <w:r w:rsidRPr="009E53D8">
        <w:rPr>
          <w:rFonts w:ascii="Switzerland" w:hAnsi="Switzerland" w:cs="Switzerland"/>
          <w:sz w:val="20"/>
          <w:szCs w:val="20"/>
          <w:lang w:val="es-ES_tradnl" w:eastAsia="es-ES"/>
        </w:rPr>
        <w:t xml:space="preserve">Por otro lado, atañe a la resolución de los aspectos relevantes de las empresas aseguradoras y de aquellas que operen en </w:t>
      </w:r>
      <w:proofErr w:type="spellStart"/>
      <w:r w:rsidRPr="009E53D8">
        <w:rPr>
          <w:rFonts w:ascii="Switzerland" w:hAnsi="Switzerland" w:cs="Switzerland"/>
          <w:sz w:val="20"/>
          <w:szCs w:val="20"/>
          <w:lang w:val="es-ES_tradnl" w:eastAsia="es-ES"/>
        </w:rPr>
        <w:t>autoseguro</w:t>
      </w:r>
      <w:proofErr w:type="spellEnd"/>
      <w:r w:rsidRPr="009E53D8">
        <w:rPr>
          <w:rFonts w:ascii="Switzerland" w:hAnsi="Switzerland" w:cs="Switzerland"/>
          <w:sz w:val="20"/>
          <w:szCs w:val="20"/>
          <w:lang w:val="es-ES_tradnl" w:eastAsia="es-ES"/>
        </w:rPr>
        <w:t xml:space="preserve">, conforme a las prescripciones de la Ley sobre Riesgos del Trabajo, abarcando a sociedades extranjeras, capitales mínimos, disminución de capitales mínimos por pérdida, indisponibilidad de inversiones, reservas técnicas, fondo de amortización y pensión, cálculo de coberturas, inversiones, administración y balances, fusión y cesión de cartera, revocación de autorizaciones, liquidaciones y penas conforme a lo regulado en la normativa vigente.  </w:t>
      </w:r>
    </w:p>
    <w:p w:rsidR="009E53D8" w:rsidRPr="009E53D8" w:rsidRDefault="009E53D8" w:rsidP="009E53D8">
      <w:pPr>
        <w:spacing w:after="0" w:line="288" w:lineRule="auto"/>
        <w:ind w:firstLine="1134"/>
        <w:jc w:val="both"/>
        <w:rPr>
          <w:rFonts w:ascii="Switzerland" w:hAnsi="Switzerland" w:cs="Switzerland"/>
          <w:b/>
          <w:bCs/>
          <w:sz w:val="20"/>
          <w:szCs w:val="20"/>
          <w:u w:val="single"/>
          <w:lang w:val="es-ES_tradnl" w:eastAsia="es-ES"/>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16389" w:rsidRDefault="00B16389">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rPr>
          <w:rFonts w:ascii="Ottawa" w:hAnsi="Ottawa" w:cs="Ottawa"/>
          <w:color w:val="000000"/>
          <w:sz w:val="14"/>
          <w:szCs w:val="14"/>
          <w:highlight w:val="white"/>
        </w:rPr>
      </w:pPr>
      <w:r>
        <w:rPr>
          <w:rFonts w:ascii="Ottawa" w:hAnsi="Ottawa" w:cs="Ottawa"/>
          <w:color w:val="000000"/>
          <w:sz w:val="14"/>
          <w:szCs w:val="14"/>
          <w:highlight w:val="white"/>
        </w:rPr>
        <w:t xml:space="preserve"> </w:t>
      </w:r>
    </w:p>
    <w:tbl>
      <w:tblPr>
        <w:tblW w:w="0" w:type="auto"/>
        <w:tblInd w:w="51" w:type="dxa"/>
        <w:tblLayout w:type="fixed"/>
        <w:tblCellMar>
          <w:left w:w="0" w:type="dxa"/>
          <w:right w:w="0" w:type="dxa"/>
        </w:tblCellMar>
        <w:tblLook w:val="0000" w:firstRow="0" w:lastRow="0" w:firstColumn="0" w:lastColumn="0" w:noHBand="0" w:noVBand="0"/>
      </w:tblPr>
      <w:tblGrid>
        <w:gridCol w:w="3659"/>
        <w:gridCol w:w="2694"/>
        <w:gridCol w:w="2357"/>
      </w:tblGrid>
      <w:tr w:rsidR="00B16389">
        <w:tblPrEx>
          <w:tblCellMar>
            <w:top w:w="0" w:type="dxa"/>
            <w:left w:w="0" w:type="dxa"/>
            <w:bottom w:w="0" w:type="dxa"/>
            <w:right w:w="0" w:type="dxa"/>
          </w:tblCellMar>
        </w:tblPrEx>
        <w:trPr>
          <w:tblHeader/>
        </w:trPr>
        <w:tc>
          <w:tcPr>
            <w:tcW w:w="8710" w:type="dxa"/>
            <w:gridSpan w:val="3"/>
            <w:tcBorders>
              <w:top w:val="nil"/>
              <w:left w:val="nil"/>
              <w:bottom w:val="nil"/>
              <w:right w:val="nil"/>
            </w:tcBorders>
            <w:shd w:val="clear" w:color="auto" w:fill="FFFFFF"/>
          </w:tcPr>
          <w:p w:rsidR="00B16389" w:rsidRDefault="00B16389">
            <w:pPr>
              <w:widowControl w:val="0"/>
              <w:autoSpaceDE w:val="0"/>
              <w:autoSpaceDN w:val="0"/>
              <w:adjustRightInd w:val="0"/>
              <w:spacing w:after="0" w:line="180" w:lineRule="atLeast"/>
              <w:ind w:left="51" w:right="51"/>
              <w:jc w:val="center"/>
              <w:rPr>
                <w:rFonts w:ascii="Ottawa" w:hAnsi="Ottawa" w:cs="Ottawa"/>
                <w:b/>
                <w:bCs/>
                <w:color w:val="000000"/>
                <w:sz w:val="24"/>
                <w:szCs w:val="24"/>
              </w:rPr>
            </w:pPr>
            <w:r>
              <w:rPr>
                <w:rFonts w:ascii="Ottawa" w:hAnsi="Ottawa" w:cs="Ottawa"/>
                <w:b/>
                <w:bCs/>
                <w:color w:val="000000"/>
                <w:sz w:val="24"/>
                <w:szCs w:val="24"/>
              </w:rPr>
              <w:t>METAS Y PRODUCCION BRUTA</w:t>
            </w:r>
          </w:p>
        </w:tc>
      </w:tr>
      <w:tr w:rsidR="00B16389">
        <w:tblPrEx>
          <w:tblCellMar>
            <w:top w:w="0" w:type="dxa"/>
            <w:left w:w="0" w:type="dxa"/>
            <w:bottom w:w="0" w:type="dxa"/>
            <w:right w:w="0" w:type="dxa"/>
          </w:tblCellMar>
        </w:tblPrEx>
        <w:trPr>
          <w:cantSplit/>
          <w:tblHeader/>
        </w:trPr>
        <w:tc>
          <w:tcPr>
            <w:tcW w:w="8710" w:type="dxa"/>
            <w:gridSpan w:val="3"/>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tblHeader/>
        </w:trPr>
        <w:tc>
          <w:tcPr>
            <w:tcW w:w="3659"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DENOMINACION</w:t>
            </w:r>
          </w:p>
        </w:tc>
        <w:tc>
          <w:tcPr>
            <w:tcW w:w="2694"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UNIDAD DE MEDIDA</w:t>
            </w:r>
          </w:p>
        </w:tc>
        <w:tc>
          <w:tcPr>
            <w:tcW w:w="23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CANTIDAD</w:t>
            </w: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rPr>
                <w:rFonts w:ascii="Arial" w:hAnsi="Arial" w:cs="Arial"/>
                <w:b/>
                <w:bCs/>
                <w:color w:val="000000"/>
                <w:sz w:val="20"/>
                <w:szCs w:val="20"/>
              </w:rPr>
            </w:pPr>
            <w:r>
              <w:rPr>
                <w:rFonts w:ascii="Arial" w:hAnsi="Arial" w:cs="Arial"/>
                <w:b/>
                <w:bCs/>
                <w:color w:val="000000"/>
                <w:sz w:val="20"/>
                <w:szCs w:val="20"/>
              </w:rPr>
              <w:t>METAS :</w:t>
            </w: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Control a Intermediarios de Seguros </w:t>
            </w: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Inspección</w:t>
            </w: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800</w:t>
            </w:r>
          </w:p>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Liquidación Forzosa de Aseguradoras </w:t>
            </w: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Proceso Concluido</w:t>
            </w: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6</w:t>
            </w:r>
          </w:p>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Publicaciones </w:t>
            </w: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Circular</w:t>
            </w: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90</w:t>
            </w:r>
          </w:p>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rPr>
                <w:rFonts w:ascii="Arial" w:hAnsi="Arial" w:cs="Arial"/>
                <w:color w:val="000000"/>
                <w:sz w:val="20"/>
                <w:szCs w:val="20"/>
              </w:rPr>
            </w:pPr>
            <w:r>
              <w:rPr>
                <w:rFonts w:ascii="Arial" w:hAnsi="Arial" w:cs="Arial"/>
                <w:color w:val="000000"/>
                <w:sz w:val="20"/>
                <w:szCs w:val="20"/>
              </w:rPr>
              <w:t xml:space="preserve">Supervisión e Inspección a Empresas Aseguradoras </w:t>
            </w: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108" w:right="108"/>
              <w:rPr>
                <w:rFonts w:ascii="Arial" w:hAnsi="Arial" w:cs="Arial"/>
                <w:color w:val="000000"/>
                <w:sz w:val="20"/>
                <w:szCs w:val="20"/>
              </w:rPr>
            </w:pPr>
            <w:r>
              <w:rPr>
                <w:rFonts w:ascii="Arial" w:hAnsi="Arial" w:cs="Arial"/>
                <w:color w:val="000000"/>
                <w:sz w:val="20"/>
                <w:szCs w:val="20"/>
              </w:rPr>
              <w:t>Inspección</w:t>
            </w:r>
          </w:p>
        </w:tc>
        <w:tc>
          <w:tcPr>
            <w:tcW w:w="2357"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604</w:t>
            </w:r>
          </w:p>
          <w:p w:rsidR="00B16389" w:rsidRDefault="00B16389">
            <w:pPr>
              <w:keepLines/>
              <w:widowControl w:val="0"/>
              <w:autoSpaceDE w:val="0"/>
              <w:autoSpaceDN w:val="0"/>
              <w:adjustRightInd w:val="0"/>
              <w:spacing w:after="0" w:line="180" w:lineRule="atLeast"/>
              <w:ind w:left="51" w:right="51"/>
              <w:jc w:val="right"/>
              <w:rPr>
                <w:rFonts w:ascii="Arial" w:hAnsi="Arial" w:cs="Arial"/>
                <w:color w:val="000000"/>
                <w:sz w:val="20"/>
                <w:szCs w:val="20"/>
              </w:rPr>
            </w:pPr>
            <w:r>
              <w:rPr>
                <w:rFonts w:ascii="Arial" w:hAnsi="Arial" w:cs="Arial"/>
                <w:color w:val="000000"/>
                <w:sz w:val="20"/>
                <w:szCs w:val="20"/>
              </w:rPr>
              <w:t xml:space="preserve"> </w:t>
            </w:r>
          </w:p>
        </w:tc>
      </w:tr>
      <w:tr w:rsidR="00B16389">
        <w:tblPrEx>
          <w:tblCellMar>
            <w:top w:w="0" w:type="dxa"/>
            <w:left w:w="0" w:type="dxa"/>
            <w:bottom w:w="0" w:type="dxa"/>
            <w:right w:w="0" w:type="dxa"/>
          </w:tblCellMar>
        </w:tblPrEx>
        <w:trPr>
          <w:cantSplit/>
        </w:trPr>
        <w:tc>
          <w:tcPr>
            <w:tcW w:w="3659"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694"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357"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bl>
    <w:p w:rsidR="00B16389" w:rsidRDefault="00B16389">
      <w:pPr>
        <w:widowControl w:val="0"/>
        <w:shd w:val="clear" w:color="auto" w:fill="FFFFFF"/>
        <w:autoSpaceDE w:val="0"/>
        <w:autoSpaceDN w:val="0"/>
        <w:adjustRightInd w:val="0"/>
        <w:spacing w:after="0" w:line="240" w:lineRule="auto"/>
        <w:ind w:left="121" w:right="50"/>
        <w:rPr>
          <w:rFonts w:ascii="Times New Roman" w:hAnsi="Times New Roman" w:cs="Times New Roman"/>
          <w:color w:val="000000"/>
          <w:sz w:val="16"/>
          <w:szCs w:val="16"/>
          <w:highlight w:val="white"/>
        </w:rPr>
      </w:pPr>
    </w:p>
    <w:p w:rsidR="00B16389" w:rsidRDefault="00B16389">
      <w:pPr>
        <w:widowControl w:val="0"/>
        <w:shd w:val="clear" w:color="auto" w:fill="FFFFFF"/>
        <w:autoSpaceDE w:val="0"/>
        <w:autoSpaceDN w:val="0"/>
        <w:adjustRightInd w:val="0"/>
        <w:spacing w:after="0" w:line="240" w:lineRule="auto"/>
        <w:ind w:left="121" w:right="50"/>
        <w:rPr>
          <w:rFonts w:ascii="Arial" w:hAnsi="Arial" w:cs="Arial"/>
          <w:sz w:val="24"/>
          <w:szCs w:val="24"/>
        </w:rPr>
      </w:pPr>
      <w:r>
        <w:rPr>
          <w:rFonts w:ascii="Arial" w:hAnsi="Arial" w:cs="Arial"/>
          <w:sz w:val="24"/>
          <w:szCs w:val="24"/>
        </w:rPr>
        <w:br w:type="page"/>
      </w:r>
    </w:p>
    <w:p w:rsidR="00B16389" w:rsidRDefault="00B16389">
      <w:pPr>
        <w:widowControl w:val="0"/>
        <w:shd w:val="clear" w:color="auto" w:fill="FFFFFF"/>
        <w:autoSpaceDE w:val="0"/>
        <w:autoSpaceDN w:val="0"/>
        <w:adjustRightInd w:val="0"/>
        <w:spacing w:after="0" w:line="240" w:lineRule="auto"/>
        <w:ind w:left="121" w:right="50"/>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50"/>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1368"/>
        <w:gridCol w:w="2700"/>
        <w:gridCol w:w="2700"/>
        <w:gridCol w:w="1980"/>
      </w:tblGrid>
      <w:tr w:rsidR="00B16389">
        <w:tblPrEx>
          <w:tblCellMar>
            <w:top w:w="0" w:type="dxa"/>
            <w:left w:w="0" w:type="dxa"/>
            <w:bottom w:w="0" w:type="dxa"/>
            <w:right w:w="0" w:type="dxa"/>
          </w:tblCellMar>
        </w:tblPrEx>
        <w:trPr>
          <w:tblHeader/>
        </w:trPr>
        <w:tc>
          <w:tcPr>
            <w:tcW w:w="8748" w:type="dxa"/>
            <w:gridSpan w:val="4"/>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72" w:right="108"/>
              <w:jc w:val="center"/>
              <w:rPr>
                <w:rFonts w:ascii="Ottawa" w:hAnsi="Ottawa" w:cs="Ottawa"/>
                <w:b/>
                <w:bCs/>
                <w:color w:val="000000"/>
                <w:sz w:val="24"/>
                <w:szCs w:val="24"/>
              </w:rPr>
            </w:pPr>
            <w:r>
              <w:rPr>
                <w:rFonts w:ascii="Ottawa" w:hAnsi="Ottawa" w:cs="Ottawa"/>
                <w:b/>
                <w:bCs/>
                <w:color w:val="000000"/>
                <w:sz w:val="24"/>
                <w:szCs w:val="24"/>
              </w:rPr>
              <w:t xml:space="preserve">LISTADO DE ACTIVIDADES ESPECIFICAS </w:t>
            </w:r>
          </w:p>
          <w:p w:rsidR="00B16389" w:rsidRDefault="00B16389">
            <w:pPr>
              <w:widowControl w:val="0"/>
              <w:autoSpaceDE w:val="0"/>
              <w:autoSpaceDN w:val="0"/>
              <w:adjustRightInd w:val="0"/>
              <w:spacing w:after="0" w:line="240" w:lineRule="auto"/>
              <w:ind w:left="-72" w:right="108"/>
              <w:jc w:val="center"/>
              <w:rPr>
                <w:rFonts w:ascii="Arial" w:hAnsi="Arial" w:cs="Arial"/>
                <w:sz w:val="24"/>
                <w:szCs w:val="24"/>
              </w:rPr>
            </w:pPr>
          </w:p>
        </w:tc>
      </w:tr>
      <w:tr w:rsidR="00B16389">
        <w:tblPrEx>
          <w:tblCellMar>
            <w:top w:w="0" w:type="dxa"/>
            <w:left w:w="0" w:type="dxa"/>
            <w:bottom w:w="0" w:type="dxa"/>
            <w:right w:w="0" w:type="dxa"/>
          </w:tblCellMar>
        </w:tblPrEx>
        <w:trPr>
          <w:tblHeader/>
        </w:trPr>
        <w:tc>
          <w:tcPr>
            <w:tcW w:w="8748" w:type="dxa"/>
            <w:gridSpan w:val="4"/>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tblHeader/>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CODIGO</w:t>
            </w:r>
          </w:p>
        </w:tc>
        <w:tc>
          <w:tcPr>
            <w:tcW w:w="270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DENOMINACION</w:t>
            </w:r>
          </w:p>
        </w:tc>
        <w:tc>
          <w:tcPr>
            <w:tcW w:w="270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EJECUTORA</w:t>
            </w:r>
          </w:p>
        </w:tc>
        <w:tc>
          <w:tcPr>
            <w:tcW w:w="1980"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CREDITO</w:t>
            </w:r>
          </w:p>
        </w:tc>
      </w:tr>
      <w:tr w:rsidR="00B16389">
        <w:tblPrEx>
          <w:tblCellMar>
            <w:top w:w="0" w:type="dxa"/>
            <w:left w:w="0" w:type="dxa"/>
            <w:bottom w:w="0" w:type="dxa"/>
            <w:right w:w="0" w:type="dxa"/>
          </w:tblCellMar>
        </w:tblPrEx>
        <w:trPr>
          <w:cantSplit/>
          <w:tblHeader/>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b/>
                <w:bCs/>
                <w:color w:val="000000"/>
                <w:sz w:val="20"/>
                <w:szCs w:val="20"/>
              </w:rPr>
            </w:pPr>
            <w:r>
              <w:rPr>
                <w:rFonts w:ascii="Arial" w:hAnsi="Arial" w:cs="Arial"/>
                <w:b/>
                <w:bCs/>
                <w:color w:val="000000"/>
                <w:sz w:val="20"/>
                <w:szCs w:val="20"/>
              </w:rPr>
              <w:t>Actividades: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01</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Dirección Superior y Servicios de Apoyo</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Unidad Superintendencia de Seguros</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123.556.821</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02</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Servicios Administrativos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Administrativa</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148.950.889</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03</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Asesoría, Representación y Patrocinio Legal</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Jurídica</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45.937.496</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04</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Estudios Económico-Financieros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de Estudios</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16.341.687</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05</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Autorización para Operar en Seguros y Reaseguros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de Autorizaciones y Registros</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13.393.203</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06</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Evaluación Económica del Mercado Asegurador</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de Evaluación</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20.933.627</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08</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Fiscalización "In Situ" de las Compañías Aseguradoras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de Inspección</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27.085.490</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10</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Elaboración Normas Técnicas</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Técnica</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13.793.445</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center"/>
              <w:rPr>
                <w:rFonts w:ascii="Arial" w:hAnsi="Arial" w:cs="Arial"/>
                <w:color w:val="000000"/>
                <w:sz w:val="20"/>
                <w:szCs w:val="20"/>
              </w:rPr>
            </w:pPr>
            <w:r>
              <w:rPr>
                <w:rFonts w:ascii="Arial" w:hAnsi="Arial" w:cs="Arial"/>
                <w:color w:val="000000"/>
                <w:sz w:val="20"/>
                <w:szCs w:val="20"/>
              </w:rPr>
              <w:t>11</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Prevención y Control del Lavado de Activos y del Financiamiento del Terrorismo</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Gerencia de Prevención y Control del Lavado de Activos y Financiamiento del Terrorismo</w:t>
            </w: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8.502.342</w:t>
            </w: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rPr>
          <w:cantSplit/>
        </w:trPr>
        <w:tc>
          <w:tcPr>
            <w:tcW w:w="1368"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270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108" w:right="108"/>
              <w:rPr>
                <w:rFonts w:ascii="Arial" w:hAnsi="Arial" w:cs="Arial"/>
                <w:sz w:val="24"/>
                <w:szCs w:val="24"/>
              </w:rPr>
            </w:pPr>
          </w:p>
        </w:tc>
        <w:tc>
          <w:tcPr>
            <w:tcW w:w="1980" w:type="dxa"/>
            <w:tcBorders>
              <w:top w:val="nil"/>
              <w:left w:val="nil"/>
              <w:bottom w:val="nil"/>
              <w:right w:val="nil"/>
            </w:tcBorders>
            <w:shd w:val="clear" w:color="auto" w:fill="FFFFFF"/>
          </w:tcPr>
          <w:p w:rsidR="00B16389" w:rsidRDefault="00B16389">
            <w:pPr>
              <w:keepLines/>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418.495.000</w:t>
            </w:r>
          </w:p>
        </w:tc>
      </w:tr>
    </w:tbl>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6"/>
          <w:szCs w:val="16"/>
        </w:rPr>
      </w:pPr>
    </w:p>
    <w:p w:rsidR="00B16389" w:rsidRDefault="00B16389">
      <w:pPr>
        <w:widowControl w:val="0"/>
        <w:autoSpaceDE w:val="0"/>
        <w:autoSpaceDN w:val="0"/>
        <w:adjustRightInd w:val="0"/>
        <w:spacing w:after="0" w:line="240" w:lineRule="auto"/>
        <w:ind w:left="121" w:right="107"/>
        <w:rPr>
          <w:rFonts w:ascii="Arial" w:hAnsi="Arial" w:cs="Arial"/>
          <w:sz w:val="24"/>
          <w:szCs w:val="24"/>
        </w:rPr>
      </w:pPr>
      <w:r>
        <w:rPr>
          <w:rFonts w:ascii="Arial" w:hAnsi="Arial" w:cs="Arial"/>
          <w:sz w:val="24"/>
          <w:szCs w:val="24"/>
        </w:rPr>
        <w:br w:type="page"/>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16389">
        <w:tblPrEx>
          <w:tblCellMar>
            <w:top w:w="0" w:type="dxa"/>
            <w:left w:w="0" w:type="dxa"/>
            <w:bottom w:w="0" w:type="dxa"/>
            <w:right w:w="0" w:type="dxa"/>
          </w:tblCellMar>
        </w:tblPrEx>
        <w:trPr>
          <w:tblHeader/>
        </w:trPr>
        <w:tc>
          <w:tcPr>
            <w:tcW w:w="8509" w:type="dxa"/>
            <w:gridSpan w:val="2"/>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CREDITOS POR INCISO - PARTIDA PRINCIPAL</w:t>
            </w:r>
          </w:p>
        </w:tc>
      </w:tr>
      <w:tr w:rsidR="00B16389">
        <w:tblPrEx>
          <w:tblCellMar>
            <w:top w:w="0" w:type="dxa"/>
            <w:left w:w="0" w:type="dxa"/>
            <w:bottom w:w="0" w:type="dxa"/>
            <w:right w:w="0" w:type="dxa"/>
          </w:tblCellMar>
        </w:tblPrEx>
        <w:trPr>
          <w:tblHeader/>
        </w:trPr>
        <w:tc>
          <w:tcPr>
            <w:tcW w:w="8509" w:type="dxa"/>
            <w:gridSpan w:val="2"/>
            <w:tcBorders>
              <w:top w:val="nil"/>
              <w:left w:val="nil"/>
              <w:bottom w:val="single" w:sz="12" w:space="0" w:color="000000"/>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16389">
        <w:tblPrEx>
          <w:tblCellMar>
            <w:top w:w="0" w:type="dxa"/>
            <w:left w:w="0" w:type="dxa"/>
            <w:bottom w:w="0" w:type="dxa"/>
            <w:right w:w="0" w:type="dxa"/>
          </w:tblCellMar>
        </w:tblPrEx>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16389">
        <w:tblPrEx>
          <w:tblCellMar>
            <w:top w:w="0" w:type="dxa"/>
            <w:left w:w="0" w:type="dxa"/>
            <w:bottom w:w="0" w:type="dxa"/>
            <w:right w:w="0" w:type="dxa"/>
          </w:tblCellMar>
        </w:tblPrEx>
        <w:tc>
          <w:tcPr>
            <w:tcW w:w="6408"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418.495.000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en Personal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329.134.000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Permanente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238.782.000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Extraordinarios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5.170.000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Asistencia Social al Personal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281.000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Personal contratado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84.901.000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Consumo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3.672.000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Alimenticios, Agropecuarios y Forestales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900.000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Textiles y Vestuario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Papel, Cartón e Impresos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677.700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de Cuero y Caucho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25.000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Químicos, Combustibles y Lubricantes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125.000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Productos Metálicos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Bienes de Consumo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1.764.300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Servicios No Personales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77.383.000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Básicos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2.260.000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Alquileres y Derechos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4.845.000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Mantenimiento, Reparación y Limpieza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12.201.400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Técnicos y Profesionales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37.288.600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Servicios Comerciales y Financieros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4.289.000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Pasajes y Viáticos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6.675.000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Impuestos, Derechos, Tasas y Juicios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2.624.000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Otros Servicios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7.200.000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Bienes de Uso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8.000.000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Maquinaria y Equipo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4.350.000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Libros, Revistas y Otros Elementos Coleccionables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150.000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Activos Intangibles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3.500.000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Transferencias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306.000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w:t>
            </w:r>
            <w:proofErr w:type="spellStart"/>
            <w:r>
              <w:rPr>
                <w:rFonts w:ascii="Arial" w:hAnsi="Arial" w:cs="Arial"/>
                <w:color w:val="000000"/>
                <w:sz w:val="20"/>
                <w:szCs w:val="20"/>
              </w:rPr>
              <w:t>Transf</w:t>
            </w:r>
            <w:proofErr w:type="spellEnd"/>
            <w:r>
              <w:rPr>
                <w:rFonts w:ascii="Arial" w:hAnsi="Arial" w:cs="Arial"/>
                <w:color w:val="000000"/>
                <w:sz w:val="20"/>
                <w:szCs w:val="20"/>
              </w:rPr>
              <w:t xml:space="preserve">. al Sector Privado para Financiar Gastos Corrientes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306.000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bl>
    <w:p w:rsidR="00B16389" w:rsidRDefault="00B16389">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16389" w:rsidRDefault="00B16389">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r>
        <w:rPr>
          <w:rFonts w:ascii="Arial" w:hAnsi="Arial" w:cs="Arial"/>
          <w:sz w:val="24"/>
          <w:szCs w:val="24"/>
        </w:rPr>
        <w:br w:type="page"/>
      </w:r>
    </w:p>
    <w:p w:rsidR="00B16389" w:rsidRDefault="00B16389">
      <w:pPr>
        <w:widowControl w:val="0"/>
        <w:tabs>
          <w:tab w:val="left" w:pos="1713"/>
        </w:tabs>
        <w:autoSpaceDE w:val="0"/>
        <w:autoSpaceDN w:val="0"/>
        <w:adjustRightInd w:val="0"/>
        <w:spacing w:after="0" w:line="240" w:lineRule="auto"/>
        <w:ind w:left="121" w:right="107"/>
        <w:jc w:val="center"/>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tabs>
          <w:tab w:val="left" w:pos="1713"/>
        </w:tabs>
        <w:autoSpaceDE w:val="0"/>
        <w:autoSpaceDN w:val="0"/>
        <w:adjustRightInd w:val="0"/>
        <w:spacing w:after="0" w:line="240" w:lineRule="auto"/>
        <w:ind w:left="121" w:right="107"/>
        <w:jc w:val="center"/>
        <w:rPr>
          <w:rFonts w:ascii="Arial" w:hAnsi="Arial" w:cs="Arial"/>
          <w:color w:val="000000"/>
          <w:sz w:val="20"/>
          <w:szCs w:val="20"/>
        </w:rPr>
      </w:pPr>
      <w:r>
        <w:rPr>
          <w:rFonts w:ascii="Arial" w:hAnsi="Arial" w:cs="Arial"/>
          <w:color w:val="000000"/>
          <w:sz w:val="20"/>
          <w:szCs w:val="20"/>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0"/>
          <w:szCs w:val="20"/>
          <w:highlight w:val="white"/>
        </w:rPr>
        <w:t xml:space="preserve"> </w:t>
      </w:r>
      <w:r>
        <w:rPr>
          <w:rFonts w:ascii="Ottawa" w:hAnsi="Ottawa" w:cs="Ottawa"/>
          <w:color w:val="000000"/>
          <w:sz w:val="28"/>
          <w:szCs w:val="28"/>
          <w:highlight w:val="white"/>
        </w:rPr>
        <w:t>OTRAS CATEGORIAS PRESUPUESTARIAS 99</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EROGACIONES FIGURATIVAS</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8"/>
          <w:szCs w:val="28"/>
          <w:highlight w:val="white"/>
        </w:rPr>
      </w:pPr>
      <w:r>
        <w:rPr>
          <w:rFonts w:ascii="Ottawa" w:hAnsi="Ottawa" w:cs="Ottawa"/>
          <w:color w:val="000000"/>
          <w:sz w:val="28"/>
          <w:szCs w:val="28"/>
          <w:highlight w:val="white"/>
        </w:rPr>
        <w:t>UNIDAD EJECUTORA</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b/>
          <w:bCs/>
          <w:color w:val="000000"/>
          <w:sz w:val="28"/>
          <w:szCs w:val="28"/>
          <w:highlight w:val="white"/>
        </w:rPr>
      </w:pPr>
      <w:r>
        <w:rPr>
          <w:rFonts w:ascii="Ottawa" w:hAnsi="Ottawa" w:cs="Ottawa"/>
          <w:b/>
          <w:bCs/>
          <w:color w:val="000000"/>
          <w:sz w:val="28"/>
          <w:szCs w:val="28"/>
          <w:highlight w:val="white"/>
        </w:rPr>
        <w:t>SUPERINTENDENCIA DE SEGUROS DE LA NACIÓN</w:t>
      </w: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28"/>
          <w:szCs w:val="28"/>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Times New Roman" w:hAnsi="Times New Roman" w:cs="Times New Roman"/>
          <w:color w:val="000000"/>
          <w:sz w:val="24"/>
          <w:szCs w:val="24"/>
          <w:highlight w:val="white"/>
        </w:rPr>
      </w:pPr>
      <w:r>
        <w:rPr>
          <w:rFonts w:ascii="Times New Roman" w:hAnsi="Times New Roman" w:cs="Times New Roman"/>
          <w:color w:val="000000"/>
          <w:sz w:val="24"/>
          <w:szCs w:val="24"/>
          <w:highlight w:val="white"/>
        </w:rPr>
        <w:t>_________________________________________________</w:t>
      </w:r>
    </w:p>
    <w:p w:rsidR="00B16389" w:rsidRDefault="00B16389">
      <w:pPr>
        <w:widowControl w:val="0"/>
        <w:shd w:val="clear" w:color="auto" w:fill="FFFFFF"/>
        <w:autoSpaceDE w:val="0"/>
        <w:autoSpaceDN w:val="0"/>
        <w:adjustRightInd w:val="0"/>
        <w:spacing w:after="0" w:line="240" w:lineRule="auto"/>
        <w:ind w:left="121" w:right="107"/>
        <w:jc w:val="center"/>
        <w:rPr>
          <w:rFonts w:ascii="Ottawa" w:hAnsi="Ottawa" w:cs="Ottawa"/>
          <w:color w:val="000000"/>
          <w:sz w:val="24"/>
          <w:szCs w:val="24"/>
          <w:highlight w:val="white"/>
        </w:rPr>
      </w:pPr>
    </w:p>
    <w:p w:rsidR="00B16389" w:rsidRDefault="00B16389">
      <w:pPr>
        <w:widowControl w:val="0"/>
        <w:shd w:val="clear" w:color="auto" w:fill="FFFFFF"/>
        <w:autoSpaceDE w:val="0"/>
        <w:autoSpaceDN w:val="0"/>
        <w:adjustRightInd w:val="0"/>
        <w:spacing w:after="0" w:line="240" w:lineRule="auto"/>
        <w:ind w:left="121" w:right="107"/>
        <w:jc w:val="center"/>
        <w:rPr>
          <w:rFonts w:ascii="Ottawa" w:hAnsi="Ottawa" w:cs="Ottawa"/>
          <w:b/>
          <w:bCs/>
          <w:color w:val="000000"/>
          <w:sz w:val="24"/>
          <w:szCs w:val="24"/>
          <w:highlight w:val="white"/>
        </w:rPr>
      </w:pPr>
      <w:r>
        <w:rPr>
          <w:rFonts w:ascii="Ottawa" w:hAnsi="Ottawa" w:cs="Ottawa"/>
          <w:b/>
          <w:bCs/>
          <w:color w:val="000000"/>
          <w:sz w:val="24"/>
          <w:szCs w:val="24"/>
          <w:highlight w:val="white"/>
        </w:rPr>
        <w:t>DESCRIPCION DE OTRAS CATEGORIAS PRESUPUESTARIAS</w:t>
      </w: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9E53D8" w:rsidRPr="009E53D8" w:rsidRDefault="009E53D8" w:rsidP="009E53D8">
      <w:pPr>
        <w:spacing w:after="0" w:line="288" w:lineRule="auto"/>
        <w:ind w:firstLine="1134"/>
        <w:jc w:val="both"/>
        <w:rPr>
          <w:rFonts w:ascii="Switzerland" w:hAnsi="Switzerland" w:cs="Switzerland"/>
          <w:sz w:val="20"/>
          <w:szCs w:val="20"/>
          <w:lang w:eastAsia="en-US"/>
        </w:rPr>
      </w:pPr>
      <w:r w:rsidRPr="009E53D8">
        <w:rPr>
          <w:rFonts w:ascii="Switzerland" w:hAnsi="Switzerland" w:cs="Switzerland"/>
          <w:sz w:val="20"/>
          <w:szCs w:val="20"/>
          <w:lang w:eastAsia="en-US"/>
        </w:rPr>
        <w:t>Incluye los aportes al Tesoro Nacional.</w:t>
      </w:r>
    </w:p>
    <w:p w:rsidR="009E53D8" w:rsidRPr="009E53D8" w:rsidRDefault="009E53D8" w:rsidP="009E53D8">
      <w:pPr>
        <w:spacing w:after="0" w:line="288" w:lineRule="auto"/>
        <w:ind w:firstLine="1134"/>
        <w:jc w:val="both"/>
        <w:rPr>
          <w:rFonts w:ascii="Switzerland" w:hAnsi="Switzerland" w:cs="Switzerland"/>
          <w:sz w:val="20"/>
          <w:szCs w:val="20"/>
          <w:lang w:eastAsia="en-US"/>
        </w:rPr>
      </w:pPr>
    </w:p>
    <w:p w:rsidR="00B16389" w:rsidRDefault="00B16389">
      <w:pPr>
        <w:widowControl w:val="0"/>
        <w:shd w:val="clear" w:color="auto" w:fill="FFFFFF"/>
        <w:autoSpaceDE w:val="0"/>
        <w:autoSpaceDN w:val="0"/>
        <w:adjustRightInd w:val="0"/>
        <w:spacing w:after="0" w:line="240" w:lineRule="auto"/>
        <w:ind w:left="121" w:right="107"/>
        <w:jc w:val="right"/>
        <w:rPr>
          <w:rFonts w:ascii="Ottawa" w:hAnsi="Ottawa" w:cs="Ottawa"/>
          <w:color w:val="000000"/>
          <w:sz w:val="20"/>
          <w:szCs w:val="20"/>
          <w:highlight w:val="white"/>
        </w:rPr>
      </w:pPr>
    </w:p>
    <w:p w:rsidR="00B16389" w:rsidRDefault="00B16389">
      <w:pPr>
        <w:widowControl w:val="0"/>
        <w:shd w:val="clear" w:color="auto" w:fill="FFFFFF"/>
        <w:autoSpaceDE w:val="0"/>
        <w:autoSpaceDN w:val="0"/>
        <w:adjustRightInd w:val="0"/>
        <w:spacing w:after="0" w:line="240" w:lineRule="auto"/>
        <w:ind w:left="121" w:right="107"/>
        <w:jc w:val="right"/>
        <w:rPr>
          <w:rFonts w:ascii="Arial" w:hAnsi="Arial" w:cs="Arial"/>
          <w:sz w:val="24"/>
          <w:szCs w:val="24"/>
        </w:rPr>
      </w:pPr>
      <w:r>
        <w:rPr>
          <w:rFonts w:ascii="Arial" w:hAnsi="Arial" w:cs="Arial"/>
          <w:sz w:val="24"/>
          <w:szCs w:val="24"/>
        </w:rPr>
        <w:br w:type="page"/>
      </w:r>
    </w:p>
    <w:p w:rsidR="00B16389" w:rsidRDefault="00B16389">
      <w:pPr>
        <w:widowControl w:val="0"/>
        <w:shd w:val="clear" w:color="auto" w:fill="FFFFFF"/>
        <w:autoSpaceDE w:val="0"/>
        <w:autoSpaceDN w:val="0"/>
        <w:adjustRightInd w:val="0"/>
        <w:spacing w:after="0" w:line="240" w:lineRule="auto"/>
        <w:ind w:left="121" w:right="107"/>
        <w:jc w:val="right"/>
        <w:rPr>
          <w:rFonts w:ascii="Switzerland" w:hAnsi="Switzerland" w:cs="Switzerland"/>
          <w:color w:val="000000"/>
          <w:sz w:val="14"/>
          <w:szCs w:val="14"/>
          <w:highlight w:val="white"/>
        </w:rPr>
      </w:pPr>
      <w:r>
        <w:rPr>
          <w:rFonts w:ascii="Ottawa" w:hAnsi="Ottawa" w:cs="Ottawa"/>
          <w:color w:val="000000"/>
          <w:sz w:val="14"/>
          <w:szCs w:val="14"/>
          <w:highlight w:val="white"/>
        </w:rPr>
        <w:t xml:space="preserve"> </w:t>
      </w:r>
      <w:r>
        <w:rPr>
          <w:rFonts w:ascii="Switzerland" w:hAnsi="Switzerland" w:cs="Switzerland"/>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107"/>
        <w:rPr>
          <w:rFonts w:ascii="Switzerland" w:hAnsi="Switzerland" w:cs="Switzerland"/>
          <w:color w:val="000000"/>
          <w:sz w:val="14"/>
          <w:szCs w:val="14"/>
          <w:highlight w:val="white"/>
        </w:rPr>
      </w:pPr>
      <w:r>
        <w:rPr>
          <w:rFonts w:ascii="Switzerland" w:hAnsi="Switzerland" w:cs="Switzerland"/>
          <w:color w:val="000000"/>
          <w:sz w:val="14"/>
          <w:szCs w:val="14"/>
          <w:highlight w:val="white"/>
        </w:rPr>
        <w:t xml:space="preserve"> </w:t>
      </w:r>
    </w:p>
    <w:p w:rsidR="00B16389" w:rsidRDefault="00B16389">
      <w:pPr>
        <w:widowControl w:val="0"/>
        <w:shd w:val="clear" w:color="auto" w:fill="FFFFFF"/>
        <w:autoSpaceDE w:val="0"/>
        <w:autoSpaceDN w:val="0"/>
        <w:adjustRightInd w:val="0"/>
        <w:spacing w:after="0" w:line="240" w:lineRule="auto"/>
        <w:ind w:left="121" w:right="50"/>
        <w:rPr>
          <w:rFonts w:ascii="Times New Roman" w:hAnsi="Times New Roman" w:cs="Times New Roman"/>
          <w:color w:val="000000"/>
          <w:sz w:val="14"/>
          <w:szCs w:val="14"/>
          <w:highlight w:val="white"/>
        </w:rPr>
      </w:pPr>
      <w:r>
        <w:rPr>
          <w:rFonts w:ascii="Times New Roman" w:hAnsi="Times New Roman" w:cs="Times New Roman"/>
          <w:color w:val="000000"/>
          <w:sz w:val="14"/>
          <w:szCs w:val="14"/>
          <w:highlight w:val="white"/>
        </w:rPr>
        <w:t xml:space="preserve"> </w:t>
      </w:r>
    </w:p>
    <w:tbl>
      <w:tblPr>
        <w:tblW w:w="0" w:type="auto"/>
        <w:tblInd w:w="13" w:type="dxa"/>
        <w:tblLayout w:type="fixed"/>
        <w:tblCellMar>
          <w:left w:w="0" w:type="dxa"/>
          <w:right w:w="0" w:type="dxa"/>
        </w:tblCellMar>
        <w:tblLook w:val="0000" w:firstRow="0" w:lastRow="0" w:firstColumn="0" w:lastColumn="0" w:noHBand="0" w:noVBand="0"/>
      </w:tblPr>
      <w:tblGrid>
        <w:gridCol w:w="6408"/>
        <w:gridCol w:w="2101"/>
      </w:tblGrid>
      <w:tr w:rsidR="00B16389">
        <w:tblPrEx>
          <w:tblCellMar>
            <w:top w:w="0" w:type="dxa"/>
            <w:left w:w="0" w:type="dxa"/>
            <w:bottom w:w="0" w:type="dxa"/>
            <w:right w:w="0" w:type="dxa"/>
          </w:tblCellMar>
        </w:tblPrEx>
        <w:trPr>
          <w:tblHeader/>
        </w:trPr>
        <w:tc>
          <w:tcPr>
            <w:tcW w:w="8509" w:type="dxa"/>
            <w:gridSpan w:val="2"/>
            <w:tcBorders>
              <w:top w:val="nil"/>
              <w:left w:val="nil"/>
              <w:bottom w:val="nil"/>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Ottawa" w:hAnsi="Ottawa" w:cs="Ottawa"/>
                <w:b/>
                <w:bCs/>
                <w:color w:val="000000"/>
                <w:sz w:val="24"/>
                <w:szCs w:val="24"/>
              </w:rPr>
            </w:pPr>
            <w:r>
              <w:rPr>
                <w:rFonts w:ascii="Ottawa" w:hAnsi="Ottawa" w:cs="Ottawa"/>
                <w:b/>
                <w:bCs/>
                <w:color w:val="000000"/>
                <w:sz w:val="24"/>
                <w:szCs w:val="24"/>
              </w:rPr>
              <w:t>CREDITOS POR INCISO - PARTIDA PRINCIPAL</w:t>
            </w:r>
          </w:p>
        </w:tc>
      </w:tr>
      <w:tr w:rsidR="00B16389">
        <w:tblPrEx>
          <w:tblCellMar>
            <w:top w:w="0" w:type="dxa"/>
            <w:left w:w="0" w:type="dxa"/>
            <w:bottom w:w="0" w:type="dxa"/>
            <w:right w:w="0" w:type="dxa"/>
          </w:tblCellMar>
        </w:tblPrEx>
        <w:trPr>
          <w:tblHeader/>
        </w:trPr>
        <w:tc>
          <w:tcPr>
            <w:tcW w:w="8509" w:type="dxa"/>
            <w:gridSpan w:val="2"/>
            <w:tcBorders>
              <w:top w:val="nil"/>
              <w:left w:val="nil"/>
              <w:bottom w:val="single" w:sz="12" w:space="0" w:color="000000"/>
              <w:right w:val="nil"/>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(en pesos)</w:t>
            </w:r>
          </w:p>
        </w:tc>
      </w:tr>
      <w:tr w:rsidR="00B16389">
        <w:tblPrEx>
          <w:tblCellMar>
            <w:top w:w="0" w:type="dxa"/>
            <w:left w:w="0" w:type="dxa"/>
            <w:bottom w:w="0" w:type="dxa"/>
            <w:right w:w="0" w:type="dxa"/>
          </w:tblCellMar>
        </w:tblPrEx>
        <w:trPr>
          <w:tblHeader/>
        </w:trPr>
        <w:tc>
          <w:tcPr>
            <w:tcW w:w="6408"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INCISO - PARTIDA PRINCIPAL</w:t>
            </w:r>
          </w:p>
        </w:tc>
        <w:tc>
          <w:tcPr>
            <w:tcW w:w="2101" w:type="dxa"/>
            <w:tcBorders>
              <w:top w:val="single" w:sz="12" w:space="0" w:color="000000"/>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jc w:val="center"/>
              <w:rPr>
                <w:rFonts w:ascii="Arial" w:hAnsi="Arial" w:cs="Arial"/>
                <w:color w:val="000000"/>
                <w:sz w:val="20"/>
                <w:szCs w:val="20"/>
              </w:rPr>
            </w:pPr>
            <w:r>
              <w:rPr>
                <w:rFonts w:ascii="Arial" w:hAnsi="Arial" w:cs="Arial"/>
                <w:color w:val="000000"/>
                <w:sz w:val="20"/>
                <w:szCs w:val="20"/>
              </w:rPr>
              <w:t>IMPORTE</w:t>
            </w:r>
          </w:p>
        </w:tc>
      </w:tr>
      <w:tr w:rsidR="00B16389">
        <w:tblPrEx>
          <w:tblCellMar>
            <w:top w:w="0" w:type="dxa"/>
            <w:left w:w="0" w:type="dxa"/>
            <w:bottom w:w="0" w:type="dxa"/>
            <w:right w:w="0" w:type="dxa"/>
          </w:tblCellMar>
        </w:tblPrEx>
        <w:tc>
          <w:tcPr>
            <w:tcW w:w="6408"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single" w:sz="12" w:space="0" w:color="000000"/>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TOTAL</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 xml:space="preserve">53.333.000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b/>
                <w:bCs/>
                <w:color w:val="000000"/>
                <w:sz w:val="20"/>
                <w:szCs w:val="20"/>
              </w:rPr>
            </w:pPr>
            <w:r>
              <w:rPr>
                <w:rFonts w:ascii="Arial" w:hAnsi="Arial" w:cs="Arial"/>
                <w:b/>
                <w:bCs/>
                <w:color w:val="000000"/>
                <w:sz w:val="20"/>
                <w:szCs w:val="20"/>
              </w:rPr>
              <w:t xml:space="preserve">   Gastos Figurativos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b/>
                <w:bCs/>
                <w:color w:val="000000"/>
                <w:sz w:val="20"/>
                <w:szCs w:val="20"/>
              </w:rPr>
            </w:pPr>
            <w:r>
              <w:rPr>
                <w:rFonts w:ascii="Arial" w:hAnsi="Arial" w:cs="Arial"/>
                <w:b/>
                <w:bCs/>
                <w:color w:val="000000"/>
                <w:sz w:val="20"/>
                <w:szCs w:val="20"/>
              </w:rPr>
              <w:t>53.333.000</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rPr>
                <w:rFonts w:ascii="Arial" w:hAnsi="Arial" w:cs="Arial"/>
                <w:color w:val="000000"/>
                <w:sz w:val="20"/>
                <w:szCs w:val="20"/>
              </w:rPr>
            </w:pPr>
            <w:r>
              <w:rPr>
                <w:rFonts w:ascii="Arial" w:hAnsi="Arial" w:cs="Arial"/>
                <w:color w:val="000000"/>
                <w:sz w:val="20"/>
                <w:szCs w:val="20"/>
              </w:rPr>
              <w:t xml:space="preserve">       Gastos Fig. </w:t>
            </w:r>
            <w:proofErr w:type="gramStart"/>
            <w:r>
              <w:rPr>
                <w:rFonts w:ascii="Arial" w:hAnsi="Arial" w:cs="Arial"/>
                <w:color w:val="000000"/>
                <w:sz w:val="20"/>
                <w:szCs w:val="20"/>
              </w:rPr>
              <w:t>de</w:t>
            </w:r>
            <w:proofErr w:type="gramEnd"/>
            <w:r>
              <w:rPr>
                <w:rFonts w:ascii="Arial" w:hAnsi="Arial" w:cs="Arial"/>
                <w:color w:val="000000"/>
                <w:sz w:val="20"/>
                <w:szCs w:val="20"/>
              </w:rPr>
              <w:t xml:space="preserve"> la </w:t>
            </w:r>
            <w:proofErr w:type="spellStart"/>
            <w:r>
              <w:rPr>
                <w:rFonts w:ascii="Arial" w:hAnsi="Arial" w:cs="Arial"/>
                <w:color w:val="000000"/>
                <w:sz w:val="20"/>
                <w:szCs w:val="20"/>
              </w:rPr>
              <w:t>Adm</w:t>
            </w:r>
            <w:proofErr w:type="spellEnd"/>
            <w:r>
              <w:rPr>
                <w:rFonts w:ascii="Arial" w:hAnsi="Arial" w:cs="Arial"/>
                <w:color w:val="000000"/>
                <w:sz w:val="20"/>
                <w:szCs w:val="20"/>
              </w:rPr>
              <w:t xml:space="preserve">. </w:t>
            </w:r>
            <w:proofErr w:type="spellStart"/>
            <w:r>
              <w:rPr>
                <w:rFonts w:ascii="Arial" w:hAnsi="Arial" w:cs="Arial"/>
                <w:color w:val="000000"/>
                <w:sz w:val="20"/>
                <w:szCs w:val="20"/>
              </w:rPr>
              <w:t>Nac</w:t>
            </w:r>
            <w:proofErr w:type="spellEnd"/>
            <w:r>
              <w:rPr>
                <w:rFonts w:ascii="Arial" w:hAnsi="Arial" w:cs="Arial"/>
                <w:color w:val="000000"/>
                <w:sz w:val="20"/>
                <w:szCs w:val="20"/>
              </w:rPr>
              <w:t xml:space="preserve">. p/Transacciones Corrientes                                                               </w:t>
            </w: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51" w:right="51"/>
              <w:jc w:val="right"/>
              <w:rPr>
                <w:rFonts w:ascii="Arial" w:hAnsi="Arial" w:cs="Arial"/>
                <w:color w:val="000000"/>
                <w:sz w:val="20"/>
                <w:szCs w:val="20"/>
              </w:rPr>
            </w:pPr>
            <w:r>
              <w:rPr>
                <w:rFonts w:ascii="Arial" w:hAnsi="Arial" w:cs="Arial"/>
                <w:color w:val="000000"/>
                <w:sz w:val="20"/>
                <w:szCs w:val="20"/>
              </w:rPr>
              <w:t xml:space="preserve">53.333.000 </w:t>
            </w:r>
          </w:p>
        </w:tc>
      </w:tr>
      <w:tr w:rsidR="00B16389">
        <w:tblPrEx>
          <w:tblCellMar>
            <w:top w:w="0" w:type="dxa"/>
            <w:left w:w="0" w:type="dxa"/>
            <w:bottom w:w="0" w:type="dxa"/>
            <w:right w:w="0" w:type="dxa"/>
          </w:tblCellMar>
        </w:tblPrEx>
        <w:tc>
          <w:tcPr>
            <w:tcW w:w="6408"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nil"/>
              <w:right w:val="single" w:sz="12" w:space="0" w:color="000000"/>
            </w:tcBorders>
            <w:shd w:val="clear" w:color="auto" w:fill="FFFFFF"/>
          </w:tcPr>
          <w:p w:rsidR="00B16389" w:rsidRDefault="00B16389">
            <w:pPr>
              <w:widowControl w:val="0"/>
              <w:autoSpaceDE w:val="0"/>
              <w:autoSpaceDN w:val="0"/>
              <w:adjustRightInd w:val="0"/>
              <w:spacing w:after="0" w:line="240" w:lineRule="auto"/>
              <w:rPr>
                <w:rFonts w:ascii="Arial" w:hAnsi="Arial" w:cs="Arial"/>
                <w:sz w:val="24"/>
                <w:szCs w:val="24"/>
              </w:rPr>
            </w:pPr>
          </w:p>
        </w:tc>
      </w:tr>
      <w:tr w:rsidR="00B16389">
        <w:tblPrEx>
          <w:tblCellMar>
            <w:top w:w="0" w:type="dxa"/>
            <w:left w:w="0" w:type="dxa"/>
            <w:bottom w:w="0" w:type="dxa"/>
            <w:right w:w="0" w:type="dxa"/>
          </w:tblCellMar>
        </w:tblPrEx>
        <w:tc>
          <w:tcPr>
            <w:tcW w:w="6408"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c>
          <w:tcPr>
            <w:tcW w:w="2101" w:type="dxa"/>
            <w:tcBorders>
              <w:top w:val="nil"/>
              <w:left w:val="single" w:sz="12" w:space="0" w:color="000000"/>
              <w:bottom w:val="single" w:sz="12" w:space="0" w:color="000000"/>
              <w:right w:val="single" w:sz="12" w:space="0" w:color="000000"/>
            </w:tcBorders>
            <w:shd w:val="clear" w:color="auto" w:fill="FFFFFF"/>
          </w:tcPr>
          <w:p w:rsidR="00B16389" w:rsidRDefault="00B16389">
            <w:pPr>
              <w:widowControl w:val="0"/>
              <w:autoSpaceDE w:val="0"/>
              <w:autoSpaceDN w:val="0"/>
              <w:adjustRightInd w:val="0"/>
              <w:spacing w:after="0" w:line="240" w:lineRule="auto"/>
              <w:ind w:left="108" w:right="108"/>
              <w:rPr>
                <w:rFonts w:ascii="Arial" w:hAnsi="Arial" w:cs="Arial"/>
                <w:sz w:val="24"/>
                <w:szCs w:val="24"/>
              </w:rPr>
            </w:pPr>
          </w:p>
        </w:tc>
      </w:tr>
    </w:tbl>
    <w:p w:rsidR="00B16389" w:rsidRDefault="00B16389">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16389" w:rsidRDefault="00B16389">
      <w:pPr>
        <w:widowControl w:val="0"/>
        <w:tabs>
          <w:tab w:val="left" w:pos="1713"/>
        </w:tabs>
        <w:autoSpaceDE w:val="0"/>
        <w:autoSpaceDN w:val="0"/>
        <w:adjustRightInd w:val="0"/>
        <w:spacing w:after="0" w:line="240" w:lineRule="auto"/>
        <w:ind w:left="121" w:right="107"/>
        <w:rPr>
          <w:rFonts w:ascii="Arial" w:hAnsi="Arial" w:cs="Arial"/>
          <w:color w:val="000000"/>
          <w:sz w:val="20"/>
          <w:szCs w:val="20"/>
        </w:rPr>
      </w:pPr>
    </w:p>
    <w:p w:rsidR="00B16389" w:rsidRDefault="00B16389">
      <w:pPr>
        <w:widowControl w:val="0"/>
        <w:tabs>
          <w:tab w:val="left" w:pos="1713"/>
        </w:tabs>
        <w:autoSpaceDE w:val="0"/>
        <w:autoSpaceDN w:val="0"/>
        <w:adjustRightInd w:val="0"/>
        <w:spacing w:after="0" w:line="240" w:lineRule="auto"/>
        <w:ind w:left="121" w:right="107"/>
        <w:jc w:val="center"/>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14"/>
          <w:szCs w:val="14"/>
        </w:rPr>
      </w:pPr>
      <w:r>
        <w:rPr>
          <w:rFonts w:ascii="Times New Roman" w:hAnsi="Times New Roman" w:cs="Times New Roman"/>
          <w:color w:val="000000"/>
          <w:sz w:val="14"/>
          <w:szCs w:val="14"/>
        </w:rPr>
        <w:t xml:space="preserve"> </w:t>
      </w:r>
    </w:p>
    <w:p w:rsidR="00B16389" w:rsidRDefault="00B16389">
      <w:pPr>
        <w:widowControl w:val="0"/>
        <w:autoSpaceDE w:val="0"/>
        <w:autoSpaceDN w:val="0"/>
        <w:adjustRightInd w:val="0"/>
        <w:spacing w:after="0" w:line="240" w:lineRule="auto"/>
        <w:ind w:left="121" w:right="107"/>
        <w:rPr>
          <w:rFonts w:ascii="Arial" w:hAnsi="Arial" w:cs="Arial"/>
          <w:color w:val="000000"/>
          <w:sz w:val="20"/>
          <w:szCs w:val="20"/>
        </w:rPr>
      </w:pPr>
      <w:r>
        <w:rPr>
          <w:rFonts w:ascii="Arial" w:hAnsi="Arial" w:cs="Arial"/>
          <w:color w:val="000000"/>
          <w:sz w:val="20"/>
          <w:szCs w:val="20"/>
        </w:rPr>
        <w:t xml:space="preserve"> </w:t>
      </w:r>
    </w:p>
    <w:p w:rsidR="00B16389" w:rsidRDefault="00B16389">
      <w:pPr>
        <w:widowControl w:val="0"/>
        <w:autoSpaceDE w:val="0"/>
        <w:autoSpaceDN w:val="0"/>
        <w:adjustRightInd w:val="0"/>
        <w:spacing w:after="0" w:line="240" w:lineRule="auto"/>
        <w:ind w:left="121" w:right="107"/>
        <w:rPr>
          <w:rFonts w:ascii="Times New Roman" w:hAnsi="Times New Roman" w:cs="Times New Roman"/>
          <w:color w:val="000000"/>
          <w:sz w:val="24"/>
          <w:szCs w:val="24"/>
        </w:rPr>
      </w:pPr>
      <w:bookmarkStart w:id="1" w:name="page_total_master0"/>
      <w:bookmarkStart w:id="2" w:name="page_total"/>
      <w:bookmarkEnd w:id="1"/>
      <w:bookmarkEnd w:id="2"/>
    </w:p>
    <w:sectPr w:rsidR="00B16389" w:rsidSect="00E75A25">
      <w:headerReference w:type="default" r:id="rId7"/>
      <w:footerReference w:type="default" r:id="rId8"/>
      <w:pgSz w:w="11900" w:h="16840" w:code="9"/>
      <w:pgMar w:top="1678" w:right="1021" w:bottom="1400" w:left="1582" w:header="851" w:footer="110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BCE" w:rsidRDefault="00285BCE">
      <w:pPr>
        <w:spacing w:after="0" w:line="240" w:lineRule="auto"/>
      </w:pPr>
      <w:r>
        <w:separator/>
      </w:r>
    </w:p>
  </w:endnote>
  <w:endnote w:type="continuationSeparator" w:id="0">
    <w:p w:rsidR="00285BCE" w:rsidRDefault="00285B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ttawa">
    <w:panose1 w:val="02000500000000000000"/>
    <w:charset w:val="00"/>
    <w:family w:val="auto"/>
    <w:pitch w:val="variable"/>
    <w:sig w:usb0="00000003" w:usb1="00000000" w:usb2="00000000" w:usb3="00000000" w:csb0="00000001" w:csb1="00000000"/>
  </w:font>
  <w:font w:name="Switzerland">
    <w:panose1 w:val="02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389" w:rsidRDefault="00B16389">
    <w:pPr>
      <w:widowControl w:val="0"/>
      <w:tabs>
        <w:tab w:val="center" w:pos="4360"/>
        <w:tab w:val="right" w:pos="8612"/>
      </w:tabs>
      <w:autoSpaceDE w:val="0"/>
      <w:autoSpaceDN w:val="0"/>
      <w:adjustRightInd w:val="0"/>
      <w:spacing w:after="0" w:line="240" w:lineRule="auto"/>
      <w:ind w:left="121" w:right="107"/>
      <w:jc w:val="center"/>
      <w:rPr>
        <w:rFonts w:ascii="Arial" w:hAnsi="Arial" w:cs="Arial"/>
        <w:color w:val="000000"/>
        <w:sz w:val="16"/>
        <w:szCs w:val="16"/>
      </w:rPr>
    </w:pPr>
    <w:r>
      <w:rPr>
        <w:rFonts w:ascii="Arial" w:hAnsi="Arial" w:cs="Arial"/>
        <w:color w:val="000000"/>
        <w:sz w:val="16"/>
        <w:szCs w:val="16"/>
      </w:rPr>
      <w:t xml:space="preserve">603 - </w:t>
    </w:r>
    <w:r>
      <w:rPr>
        <w:rFonts w:ascii="Arial" w:hAnsi="Arial" w:cs="Arial"/>
        <w:color w:val="000000"/>
        <w:sz w:val="16"/>
        <w:szCs w:val="16"/>
      </w:rPr>
      <w:pgNum/>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BCE" w:rsidRDefault="00285BCE">
      <w:pPr>
        <w:spacing w:after="0" w:line="240" w:lineRule="auto"/>
      </w:pPr>
      <w:r>
        <w:separator/>
      </w:r>
    </w:p>
  </w:footnote>
  <w:footnote w:type="continuationSeparator" w:id="0">
    <w:p w:rsidR="00285BCE" w:rsidRDefault="00285B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6389" w:rsidRDefault="00B16389">
    <w:pPr>
      <w:widowControl w:val="0"/>
      <w:tabs>
        <w:tab w:val="center" w:pos="4527"/>
        <w:tab w:val="right" w:pos="8946"/>
      </w:tabs>
      <w:autoSpaceDE w:val="0"/>
      <w:autoSpaceDN w:val="0"/>
      <w:adjustRightInd w:val="0"/>
      <w:spacing w:after="0" w:line="240" w:lineRule="auto"/>
      <w:ind w:left="121" w:right="107"/>
      <w:rPr>
        <w:rFonts w:ascii="Times New Roman" w:hAnsi="Times New Roman" w:cs="Times New Roman"/>
        <w:color w:val="000000"/>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EA0CDF"/>
    <w:multiLevelType w:val="hybridMultilevel"/>
    <w:tmpl w:val="D264DFAA"/>
    <w:lvl w:ilvl="0" w:tplc="8CF2A448">
      <w:numFmt w:val="bullet"/>
      <w:lvlText w:val="-"/>
      <w:lvlJc w:val="left"/>
      <w:pPr>
        <w:ind w:left="360" w:hanging="360"/>
      </w:pPr>
      <w:rPr>
        <w:rFonts w:ascii="Times New Roman" w:eastAsia="Times New Roman" w:hAnsi="Times New Roman" w:hint="default"/>
      </w:rPr>
    </w:lvl>
    <w:lvl w:ilvl="1" w:tplc="2C0A0003">
      <w:start w:val="1"/>
      <w:numFmt w:val="bullet"/>
      <w:lvlText w:val="o"/>
      <w:lvlJc w:val="left"/>
      <w:pPr>
        <w:ind w:left="1080" w:hanging="360"/>
      </w:pPr>
      <w:rPr>
        <w:rFonts w:ascii="Courier New" w:hAnsi="Courier New" w:cs="Courier New" w:hint="default"/>
      </w:rPr>
    </w:lvl>
    <w:lvl w:ilvl="2" w:tplc="2C0A0005">
      <w:start w:val="1"/>
      <w:numFmt w:val="bullet"/>
      <w:lvlText w:val=""/>
      <w:lvlJc w:val="left"/>
      <w:pPr>
        <w:ind w:left="1800" w:hanging="360"/>
      </w:pPr>
      <w:rPr>
        <w:rFonts w:ascii="Wingdings" w:hAnsi="Wingdings" w:cs="Wingdings" w:hint="default"/>
      </w:rPr>
    </w:lvl>
    <w:lvl w:ilvl="3" w:tplc="2C0A0001">
      <w:start w:val="1"/>
      <w:numFmt w:val="bullet"/>
      <w:lvlText w:val=""/>
      <w:lvlJc w:val="left"/>
      <w:pPr>
        <w:ind w:left="2520" w:hanging="360"/>
      </w:pPr>
      <w:rPr>
        <w:rFonts w:ascii="Symbol" w:hAnsi="Symbol" w:cs="Symbol" w:hint="default"/>
      </w:rPr>
    </w:lvl>
    <w:lvl w:ilvl="4" w:tplc="2C0A0003">
      <w:start w:val="1"/>
      <w:numFmt w:val="bullet"/>
      <w:lvlText w:val="o"/>
      <w:lvlJc w:val="left"/>
      <w:pPr>
        <w:ind w:left="3240" w:hanging="360"/>
      </w:pPr>
      <w:rPr>
        <w:rFonts w:ascii="Courier New" w:hAnsi="Courier New" w:cs="Courier New" w:hint="default"/>
      </w:rPr>
    </w:lvl>
    <w:lvl w:ilvl="5" w:tplc="2C0A0005">
      <w:start w:val="1"/>
      <w:numFmt w:val="bullet"/>
      <w:lvlText w:val=""/>
      <w:lvlJc w:val="left"/>
      <w:pPr>
        <w:ind w:left="3960" w:hanging="360"/>
      </w:pPr>
      <w:rPr>
        <w:rFonts w:ascii="Wingdings" w:hAnsi="Wingdings" w:cs="Wingdings" w:hint="default"/>
      </w:rPr>
    </w:lvl>
    <w:lvl w:ilvl="6" w:tplc="2C0A0001">
      <w:start w:val="1"/>
      <w:numFmt w:val="bullet"/>
      <w:lvlText w:val=""/>
      <w:lvlJc w:val="left"/>
      <w:pPr>
        <w:ind w:left="4680" w:hanging="360"/>
      </w:pPr>
      <w:rPr>
        <w:rFonts w:ascii="Symbol" w:hAnsi="Symbol" w:cs="Symbol" w:hint="default"/>
      </w:rPr>
    </w:lvl>
    <w:lvl w:ilvl="7" w:tplc="2C0A0003">
      <w:start w:val="1"/>
      <w:numFmt w:val="bullet"/>
      <w:lvlText w:val="o"/>
      <w:lvlJc w:val="left"/>
      <w:pPr>
        <w:ind w:left="5400" w:hanging="360"/>
      </w:pPr>
      <w:rPr>
        <w:rFonts w:ascii="Courier New" w:hAnsi="Courier New" w:cs="Courier New" w:hint="default"/>
      </w:rPr>
    </w:lvl>
    <w:lvl w:ilvl="8" w:tplc="2C0A0005">
      <w:start w:val="1"/>
      <w:numFmt w:val="bullet"/>
      <w:lvlText w:val=""/>
      <w:lvlJc w:val="left"/>
      <w:pPr>
        <w:ind w:left="6120" w:hanging="360"/>
      </w:pPr>
      <w:rPr>
        <w:rFonts w:ascii="Wingdings" w:hAnsi="Wingdings" w:cs="Wingdings" w:hint="default"/>
      </w:rPr>
    </w:lvl>
  </w:abstractNum>
  <w:abstractNum w:abstractNumId="1">
    <w:nsid w:val="38474153"/>
    <w:multiLevelType w:val="multilevel"/>
    <w:tmpl w:val="00000001"/>
    <w:lvl w:ilvl="0">
      <w:start w:val="1"/>
      <w:numFmt w:val="upperRoman"/>
      <w:lvlText w:val="%1-"/>
      <w:lvlJc w:val="left"/>
      <w:pPr>
        <w:tabs>
          <w:tab w:val="num" w:pos="828"/>
        </w:tabs>
        <w:ind w:left="828" w:hanging="720"/>
      </w:pPr>
      <w:rPr>
        <w:rFonts w:ascii="Arial" w:hAnsi="Arial" w:cs="Arial"/>
        <w:color w:val="000000"/>
        <w:sz w:val="24"/>
        <w:szCs w:val="24"/>
      </w:rPr>
    </w:lvl>
    <w:lvl w:ilvl="1">
      <w:start w:val="1"/>
      <w:numFmt w:val="lowerLetter"/>
      <w:lvlText w:val="%2."/>
      <w:lvlJc w:val="left"/>
      <w:pPr>
        <w:tabs>
          <w:tab w:val="num" w:pos="1008"/>
        </w:tabs>
        <w:ind w:left="1008" w:hanging="360"/>
      </w:pPr>
      <w:rPr>
        <w:rFonts w:ascii="Arial" w:hAnsi="Arial" w:cs="Arial"/>
        <w:color w:val="000000"/>
        <w:sz w:val="24"/>
        <w:szCs w:val="24"/>
      </w:rPr>
    </w:lvl>
    <w:lvl w:ilvl="2">
      <w:start w:val="1"/>
      <w:numFmt w:val="lowerRoman"/>
      <w:lvlText w:val="%3."/>
      <w:lvlJc w:val="right"/>
      <w:pPr>
        <w:tabs>
          <w:tab w:val="num" w:pos="1728"/>
        </w:tabs>
        <w:ind w:left="1728" w:hanging="180"/>
      </w:pPr>
      <w:rPr>
        <w:rFonts w:ascii="Arial" w:hAnsi="Arial" w:cs="Arial"/>
        <w:color w:val="000000"/>
        <w:sz w:val="24"/>
        <w:szCs w:val="24"/>
      </w:rPr>
    </w:lvl>
    <w:lvl w:ilvl="3">
      <w:start w:val="1"/>
      <w:numFmt w:val="decimal"/>
      <w:lvlText w:val="%4."/>
      <w:lvlJc w:val="left"/>
      <w:pPr>
        <w:tabs>
          <w:tab w:val="num" w:pos="2448"/>
        </w:tabs>
        <w:ind w:left="2448" w:hanging="360"/>
      </w:pPr>
      <w:rPr>
        <w:rFonts w:ascii="Arial" w:hAnsi="Arial" w:cs="Arial"/>
        <w:color w:val="000000"/>
        <w:sz w:val="24"/>
        <w:szCs w:val="24"/>
      </w:rPr>
    </w:lvl>
    <w:lvl w:ilvl="4">
      <w:start w:val="1"/>
      <w:numFmt w:val="lowerLetter"/>
      <w:lvlText w:val="%5."/>
      <w:lvlJc w:val="left"/>
      <w:pPr>
        <w:tabs>
          <w:tab w:val="num" w:pos="3168"/>
        </w:tabs>
        <w:ind w:left="3168" w:hanging="360"/>
      </w:pPr>
      <w:rPr>
        <w:rFonts w:ascii="Arial" w:hAnsi="Arial" w:cs="Arial"/>
        <w:color w:val="000000"/>
        <w:sz w:val="24"/>
        <w:szCs w:val="24"/>
      </w:rPr>
    </w:lvl>
    <w:lvl w:ilvl="5">
      <w:start w:val="1"/>
      <w:numFmt w:val="lowerRoman"/>
      <w:lvlText w:val="%6."/>
      <w:lvlJc w:val="right"/>
      <w:pPr>
        <w:tabs>
          <w:tab w:val="num" w:pos="3888"/>
        </w:tabs>
        <w:ind w:left="3888" w:hanging="180"/>
      </w:pPr>
      <w:rPr>
        <w:rFonts w:ascii="Arial" w:hAnsi="Arial" w:cs="Arial"/>
        <w:color w:val="000000"/>
        <w:sz w:val="24"/>
        <w:szCs w:val="24"/>
      </w:rPr>
    </w:lvl>
    <w:lvl w:ilvl="6">
      <w:start w:val="1"/>
      <w:numFmt w:val="decimal"/>
      <w:lvlText w:val="%7."/>
      <w:lvlJc w:val="left"/>
      <w:pPr>
        <w:tabs>
          <w:tab w:val="num" w:pos="4608"/>
        </w:tabs>
        <w:ind w:left="4608" w:hanging="360"/>
      </w:pPr>
      <w:rPr>
        <w:rFonts w:ascii="Arial" w:hAnsi="Arial" w:cs="Arial"/>
        <w:color w:val="000000"/>
        <w:sz w:val="24"/>
        <w:szCs w:val="24"/>
      </w:rPr>
    </w:lvl>
    <w:lvl w:ilvl="7">
      <w:start w:val="1"/>
      <w:numFmt w:val="lowerLetter"/>
      <w:lvlText w:val="%8."/>
      <w:lvlJc w:val="left"/>
      <w:pPr>
        <w:tabs>
          <w:tab w:val="num" w:pos="5328"/>
        </w:tabs>
        <w:ind w:left="5328" w:hanging="360"/>
      </w:pPr>
      <w:rPr>
        <w:rFonts w:ascii="Arial" w:hAnsi="Arial" w:cs="Arial"/>
        <w:color w:val="000000"/>
        <w:sz w:val="24"/>
        <w:szCs w:val="24"/>
      </w:rPr>
    </w:lvl>
    <w:lvl w:ilvl="8">
      <w:start w:val="1"/>
      <w:numFmt w:val="lowerRoman"/>
      <w:lvlText w:val="%9."/>
      <w:lvlJc w:val="right"/>
      <w:pPr>
        <w:tabs>
          <w:tab w:val="num" w:pos="6048"/>
        </w:tabs>
        <w:ind w:left="6048" w:hanging="180"/>
      </w:pPr>
      <w:rPr>
        <w:rFonts w:ascii="Arial" w:hAnsi="Arial" w:cs="Arial"/>
        <w:color w:val="000000"/>
        <w:sz w:val="24"/>
        <w:szCs w:val="24"/>
      </w:rPr>
    </w:lvl>
  </w:abstractNum>
  <w:abstractNum w:abstractNumId="2">
    <w:nsid w:val="396C36B0"/>
    <w:multiLevelType w:val="hybridMultilevel"/>
    <w:tmpl w:val="734C9878"/>
    <w:lvl w:ilvl="0" w:tplc="8CF2A44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bordersDoNotSurroundHeader/>
  <w:bordersDoNotSurroundFooter/>
  <w:proofState w:spelling="clean" w:grammar="clean"/>
  <w:defaultTabStop w:val="70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3D8"/>
    <w:rsid w:val="000202C0"/>
    <w:rsid w:val="0026765C"/>
    <w:rsid w:val="00285BCE"/>
    <w:rsid w:val="0036055E"/>
    <w:rsid w:val="006B5F14"/>
    <w:rsid w:val="00977992"/>
    <w:rsid w:val="009E53D8"/>
    <w:rsid w:val="00B16389"/>
    <w:rsid w:val="00E75A2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E31AD96-A01B-47E4-B2DA-27E25A252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cs="Calibri"/>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2406</Words>
  <Characters>13237</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JURISDICCION C_JURISDICCION </vt:lpstr>
    </vt:vector>
  </TitlesOfParts>
  <Company>mecon</Company>
  <LinksUpToDate>false</LinksUpToDate>
  <CharactersWithSpaces>15612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JURISDICCION C_JURISDICCION</dc:title>
  <dc:subject/>
  <dc:creator>Administrator</dc:creator>
  <cp:keywords/>
  <dc:description>Generated by Oracle BI Publisher 11.1.1.7.150120</dc:description>
  <cp:lastModifiedBy>Maria V. Spada</cp:lastModifiedBy>
  <cp:revision>2</cp:revision>
  <cp:lastPrinted>2015-09-11T14:40:00Z</cp:lastPrinted>
  <dcterms:created xsi:type="dcterms:W3CDTF">2015-10-20T13:41:00Z</dcterms:created>
  <dcterms:modified xsi:type="dcterms:W3CDTF">2015-10-20T13:41:00Z</dcterms:modified>
</cp:coreProperties>
</file>